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6B7C5" w14:textId="77777777" w:rsidR="00372170" w:rsidRPr="008D6A62" w:rsidRDefault="00372170" w:rsidP="00372170">
      <w:pPr>
        <w:ind w:left="-1170"/>
        <w:rPr>
          <w:rFonts w:ascii="Arial" w:hAnsi="Arial" w:cs="Arial"/>
          <w:szCs w:val="24"/>
        </w:rPr>
      </w:pPr>
      <w:r w:rsidRPr="008D6A62">
        <w:rPr>
          <w:rFonts w:ascii="Arial" w:hAnsi="Arial" w:cs="Arial"/>
          <w:noProof/>
          <w:szCs w:val="24"/>
        </w:rPr>
        <w:drawing>
          <wp:inline distT="0" distB="0" distL="0" distR="0" wp14:anchorId="681A2832" wp14:editId="4E84FD00">
            <wp:extent cx="6397948" cy="590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676" cy="597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075" w:type="dxa"/>
        <w:tblInd w:w="-1170" w:type="dxa"/>
        <w:shd w:val="clear" w:color="auto" w:fill="33CCCC"/>
        <w:tblLook w:val="04A0" w:firstRow="1" w:lastRow="0" w:firstColumn="1" w:lastColumn="0" w:noHBand="0" w:noVBand="1"/>
      </w:tblPr>
      <w:tblGrid>
        <w:gridCol w:w="10075"/>
      </w:tblGrid>
      <w:tr w:rsidR="00372170" w:rsidRPr="008D6A62" w14:paraId="12E66AF9" w14:textId="77777777" w:rsidTr="009F0CFA">
        <w:trPr>
          <w:trHeight w:val="476"/>
        </w:trPr>
        <w:tc>
          <w:tcPr>
            <w:tcW w:w="10075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4624F561" w14:textId="77777777" w:rsidR="00372170" w:rsidRPr="008D6A62" w:rsidRDefault="00372170" w:rsidP="009F0CFA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EB328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THÔNG TIN HÒA GIẢI VIÊN</w:t>
            </w:r>
          </w:p>
        </w:tc>
      </w:tr>
    </w:tbl>
    <w:p w14:paraId="2CA2990A" w14:textId="77777777" w:rsidR="00372170" w:rsidRPr="008D6A62" w:rsidRDefault="00372170" w:rsidP="00372170">
      <w:pPr>
        <w:ind w:left="-1170"/>
        <w:rPr>
          <w:rFonts w:ascii="Arial" w:hAnsi="Arial" w:cs="Arial"/>
          <w:szCs w:val="24"/>
        </w:rPr>
      </w:pPr>
    </w:p>
    <w:tbl>
      <w:tblPr>
        <w:tblStyle w:val="TableGrid"/>
        <w:tblW w:w="9990" w:type="dxa"/>
        <w:tblInd w:w="-10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7"/>
        <w:gridCol w:w="2423"/>
        <w:gridCol w:w="540"/>
        <w:gridCol w:w="3159"/>
        <w:gridCol w:w="3231"/>
      </w:tblGrid>
      <w:tr w:rsidR="00372170" w:rsidRPr="00606B1E" w14:paraId="0EFD74FA" w14:textId="77777777" w:rsidTr="009F0CFA">
        <w:trPr>
          <w:trHeight w:val="665"/>
        </w:trPr>
        <w:tc>
          <w:tcPr>
            <w:tcW w:w="6759" w:type="dxa"/>
            <w:gridSpan w:val="4"/>
            <w:vAlign w:val="center"/>
          </w:tcPr>
          <w:p w14:paraId="74D5F284" w14:textId="44610319" w:rsidR="00372170" w:rsidRPr="00B1541B" w:rsidRDefault="00BE79D4" w:rsidP="009F0CFA">
            <w:pPr>
              <w:spacing w:before="0" w:after="0" w:line="276" w:lineRule="auto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color w:val="222A35" w:themeColor="text2" w:themeShade="80"/>
                <w:sz w:val="22"/>
              </w:rPr>
              <w:t>HEW R. DUNDAS</w:t>
            </w:r>
          </w:p>
        </w:tc>
        <w:tc>
          <w:tcPr>
            <w:tcW w:w="3231" w:type="dxa"/>
            <w:vMerge w:val="restart"/>
            <w:vAlign w:val="center"/>
          </w:tcPr>
          <w:p w14:paraId="4EC5A2A5" w14:textId="7FEE2927" w:rsidR="00372170" w:rsidRPr="00606B1E" w:rsidRDefault="00BE79D4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EADBC2B" wp14:editId="1A18B955">
                  <wp:extent cx="1785500" cy="2529403"/>
                  <wp:effectExtent l="0" t="0" r="5715" b="4445"/>
                  <wp:docPr id="2" name="Picture 2" descr="Káº¿t quáº£ hÃ¬nh áº£nh cho HEW R. DUN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HEW R. DUN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950" cy="253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77E" w:rsidRPr="00606B1E" w14:paraId="36367C49" w14:textId="77777777" w:rsidTr="0009177E">
        <w:trPr>
          <w:trHeight w:val="665"/>
        </w:trPr>
        <w:tc>
          <w:tcPr>
            <w:tcW w:w="637" w:type="dxa"/>
            <w:vAlign w:val="center"/>
          </w:tcPr>
          <w:p w14:paraId="653E850B" w14:textId="20B82871" w:rsidR="0009177E" w:rsidRDefault="0009177E" w:rsidP="009F0CFA">
            <w:pPr>
              <w:spacing w:before="0" w:after="0" w:line="276" w:lineRule="auto"/>
              <w:jc w:val="left"/>
              <w:rPr>
                <w:rFonts w:ascii="Arial" w:hAnsi="Arial" w:cs="Arial"/>
                <w:b/>
                <w:color w:val="222A35" w:themeColor="text2" w:themeShade="8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F43BC2" wp14:editId="5BA570F8">
                  <wp:extent cx="178194" cy="180753"/>
                  <wp:effectExtent l="0" t="0" r="0" b="0"/>
                  <wp:docPr id="13" name="Picture 1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96" cy="18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28E19546" w14:textId="35EA7BD4" w:rsidR="0009177E" w:rsidRPr="0009177E" w:rsidRDefault="0009177E" w:rsidP="009F0CFA">
            <w:pPr>
              <w:spacing w:before="0" w:after="0" w:line="276" w:lineRule="auto"/>
              <w:jc w:val="left"/>
              <w:rPr>
                <w:rFonts w:ascii="Arial" w:hAnsi="Arial" w:cs="Arial"/>
                <w:bCs/>
                <w:color w:val="222A35" w:themeColor="text2" w:themeShade="80"/>
                <w:sz w:val="22"/>
              </w:rPr>
            </w:pPr>
            <w:r w:rsidRPr="0009177E">
              <w:rPr>
                <w:rFonts w:ascii="Arial" w:hAnsi="Arial" w:cs="Arial"/>
                <w:bCs/>
                <w:color w:val="222A35" w:themeColor="text2" w:themeShade="80"/>
                <w:sz w:val="22"/>
              </w:rPr>
              <w:t>4/8/1953</w:t>
            </w:r>
          </w:p>
        </w:tc>
        <w:tc>
          <w:tcPr>
            <w:tcW w:w="3231" w:type="dxa"/>
            <w:vMerge/>
            <w:vAlign w:val="center"/>
          </w:tcPr>
          <w:p w14:paraId="7128684E" w14:textId="77777777" w:rsidR="0009177E" w:rsidRDefault="0009177E" w:rsidP="009F0CFA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372170" w:rsidRPr="00606B1E" w14:paraId="2DB72A67" w14:textId="77777777" w:rsidTr="009F0CFA">
        <w:tc>
          <w:tcPr>
            <w:tcW w:w="637" w:type="dxa"/>
            <w:vAlign w:val="center"/>
          </w:tcPr>
          <w:p w14:paraId="2C7D56EA" w14:textId="77777777" w:rsidR="00372170" w:rsidRPr="00606B1E" w:rsidRDefault="00372170" w:rsidP="009F0CFA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6F6A217" wp14:editId="4EB52A64">
                  <wp:extent cx="182880" cy="182880"/>
                  <wp:effectExtent l="0" t="0" r="7620" b="7620"/>
                  <wp:docPr id="4" name="Picture 4" descr="Kết quả hình ảnh cho lugg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ết quả hình ảnh cho lugg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75" cy="19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5F7C1C68" w14:textId="5EC843BC" w:rsidR="00372170" w:rsidRPr="007D10D6" w:rsidRDefault="00D82751" w:rsidP="009F0CFA">
            <w:pPr>
              <w:spacing w:after="0" w:line="264" w:lineRule="auto"/>
              <w:rPr>
                <w:rFonts w:ascii="Arial" w:hAnsi="Arial" w:cs="Arial"/>
                <w:sz w:val="22"/>
                <w:lang w:val="vi-VN"/>
              </w:rPr>
            </w:pPr>
            <w:proofErr w:type="spellStart"/>
            <w:r w:rsidRPr="00D82751">
              <w:rPr>
                <w:rFonts w:ascii="Arial" w:hAnsi="Arial" w:cs="Arial"/>
                <w:sz w:val="22"/>
              </w:rPr>
              <w:t>Trọng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tài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viên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điều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lệ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DB04A6">
              <w:rPr>
                <w:rFonts w:ascii="Arial" w:hAnsi="Arial" w:cs="Arial"/>
                <w:sz w:val="22"/>
              </w:rPr>
              <w:t>H</w:t>
            </w:r>
            <w:r w:rsidRPr="00D82751">
              <w:rPr>
                <w:rFonts w:ascii="Arial" w:hAnsi="Arial" w:cs="Arial"/>
                <w:sz w:val="22"/>
              </w:rPr>
              <w:t>òa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giải</w:t>
            </w:r>
            <w:proofErr w:type="spellEnd"/>
            <w:r w:rsidR="00DB04A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B04A6">
              <w:rPr>
                <w:rFonts w:ascii="Arial" w:hAnsi="Arial" w:cs="Arial"/>
                <w:sz w:val="22"/>
              </w:rPr>
              <w:t>viên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được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công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nhận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bởi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CEDR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và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​​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Người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xác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định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chuyên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gia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thực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tế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toàn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thời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gian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với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tư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cách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là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Người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thực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hành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duy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nhất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trong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Giải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quyết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tranh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chấp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cá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nhân</w:t>
            </w:r>
            <w:proofErr w:type="spellEnd"/>
          </w:p>
        </w:tc>
        <w:tc>
          <w:tcPr>
            <w:tcW w:w="3231" w:type="dxa"/>
            <w:vMerge/>
            <w:vAlign w:val="center"/>
          </w:tcPr>
          <w:p w14:paraId="375AB3F9" w14:textId="77777777" w:rsidR="00372170" w:rsidRPr="00FF002D" w:rsidRDefault="00372170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372170" w:rsidRPr="00606B1E" w14:paraId="356BBBCC" w14:textId="77777777" w:rsidTr="009F0CFA">
        <w:tc>
          <w:tcPr>
            <w:tcW w:w="637" w:type="dxa"/>
            <w:vAlign w:val="center"/>
          </w:tcPr>
          <w:p w14:paraId="66E28E2D" w14:textId="77777777" w:rsidR="00372170" w:rsidRPr="00606B1E" w:rsidRDefault="00372170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7281699" wp14:editId="77F79E01">
                  <wp:extent cx="160934" cy="160934"/>
                  <wp:effectExtent l="0" t="0" r="0" b="0"/>
                  <wp:docPr id="5" name="Picture 5" descr="Kết quả hình ảnh cho addre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ết quả hình ảnh cho addre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3" cy="16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1C754F9B" w14:textId="1375B46F" w:rsidR="00372170" w:rsidRPr="007D10D6" w:rsidRDefault="00B90D2C" w:rsidP="009F0CFA">
            <w:pPr>
              <w:spacing w:line="276" w:lineRule="auto"/>
              <w:jc w:val="left"/>
              <w:rPr>
                <w:rFonts w:ascii="Arial" w:hAnsi="Arial" w:cs="Arial"/>
                <w:sz w:val="22"/>
                <w:lang w:val="vi-VN"/>
              </w:rPr>
            </w:pPr>
            <w:r w:rsidRPr="00EE2AF5">
              <w:rPr>
                <w:rFonts w:ascii="Arial" w:hAnsi="Arial" w:cs="Arial"/>
                <w:sz w:val="22"/>
              </w:rPr>
              <w:t xml:space="preserve">1 St </w:t>
            </w:r>
            <w:proofErr w:type="spellStart"/>
            <w:r w:rsidRPr="00EE2AF5">
              <w:rPr>
                <w:rFonts w:ascii="Arial" w:hAnsi="Arial" w:cs="Arial"/>
                <w:sz w:val="22"/>
              </w:rPr>
              <w:t>Colme</w:t>
            </w:r>
            <w:proofErr w:type="spellEnd"/>
            <w:r w:rsidRPr="00EE2AF5">
              <w:rPr>
                <w:rFonts w:ascii="Arial" w:hAnsi="Arial" w:cs="Arial"/>
                <w:sz w:val="22"/>
              </w:rPr>
              <w:t xml:space="preserve"> Street</w:t>
            </w:r>
            <w:r w:rsidR="00B072E8" w:rsidRPr="00B072E8">
              <w:rPr>
                <w:rFonts w:ascii="Arial" w:hAnsi="Arial" w:cs="Arial"/>
                <w:sz w:val="22"/>
              </w:rPr>
              <w:t xml:space="preserve">, Edinburgh EH3 6AA </w:t>
            </w:r>
            <w:proofErr w:type="spellStart"/>
            <w:r w:rsidR="00B072E8" w:rsidRPr="00B072E8">
              <w:rPr>
                <w:rFonts w:ascii="Arial" w:hAnsi="Arial" w:cs="Arial"/>
                <w:sz w:val="22"/>
              </w:rPr>
              <w:t>Vương</w:t>
            </w:r>
            <w:proofErr w:type="spellEnd"/>
            <w:r w:rsidR="00B072E8" w:rsidRPr="00B072E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B072E8" w:rsidRPr="00B072E8">
              <w:rPr>
                <w:rFonts w:ascii="Arial" w:hAnsi="Arial" w:cs="Arial"/>
                <w:sz w:val="22"/>
              </w:rPr>
              <w:t>quốc</w:t>
            </w:r>
            <w:proofErr w:type="spellEnd"/>
            <w:r w:rsidR="00B072E8" w:rsidRPr="00B072E8">
              <w:rPr>
                <w:rFonts w:ascii="Arial" w:hAnsi="Arial" w:cs="Arial"/>
                <w:sz w:val="22"/>
              </w:rPr>
              <w:t xml:space="preserve"> Anh</w:t>
            </w:r>
          </w:p>
        </w:tc>
        <w:tc>
          <w:tcPr>
            <w:tcW w:w="3231" w:type="dxa"/>
            <w:vMerge/>
            <w:vAlign w:val="center"/>
          </w:tcPr>
          <w:p w14:paraId="5B7BBF6E" w14:textId="77777777" w:rsidR="00372170" w:rsidRPr="00FF002D" w:rsidRDefault="00372170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372170" w:rsidRPr="00606B1E" w14:paraId="599C3D7A" w14:textId="77777777" w:rsidTr="009F0CFA">
        <w:tc>
          <w:tcPr>
            <w:tcW w:w="637" w:type="dxa"/>
            <w:vAlign w:val="center"/>
          </w:tcPr>
          <w:p w14:paraId="01105CFA" w14:textId="77777777" w:rsidR="00372170" w:rsidRPr="00606B1E" w:rsidRDefault="00372170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17595EE" wp14:editId="4705B82F">
                  <wp:extent cx="175286" cy="175286"/>
                  <wp:effectExtent l="0" t="0" r="0" b="0"/>
                  <wp:docPr id="7" name="Picture 7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05" cy="17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vAlign w:val="center"/>
          </w:tcPr>
          <w:p w14:paraId="6BCB8A74" w14:textId="09D2AFC6" w:rsidR="00372170" w:rsidRPr="007D10D6" w:rsidRDefault="0009177E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EE2AF5">
              <w:rPr>
                <w:rFonts w:ascii="Arial" w:hAnsi="Arial" w:cs="Arial"/>
                <w:sz w:val="22"/>
              </w:rPr>
              <w:t>+44(0(7778-406457</w:t>
            </w:r>
          </w:p>
        </w:tc>
        <w:tc>
          <w:tcPr>
            <w:tcW w:w="540" w:type="dxa"/>
            <w:vAlign w:val="center"/>
          </w:tcPr>
          <w:p w14:paraId="7A8B87B6" w14:textId="77777777" w:rsidR="00372170" w:rsidRPr="00FF002D" w:rsidRDefault="00372170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FF002D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4177AC21" wp14:editId="27134BA7">
                  <wp:extent cx="191415" cy="191415"/>
                  <wp:effectExtent l="0" t="0" r="0" b="0"/>
                  <wp:docPr id="8" name="Picture 8" descr="Kết quả hình ảnh cho fax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ết quả hình ảnh cho fax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21" cy="20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14:paraId="55E25B5C" w14:textId="41CCAEFC" w:rsidR="00372170" w:rsidRPr="00B66230" w:rsidRDefault="00941975" w:rsidP="009F0CFA">
            <w:pPr>
              <w:rPr>
                <w:rFonts w:ascii="Arial" w:hAnsi="Arial" w:cs="Arial"/>
                <w:sz w:val="22"/>
              </w:rPr>
            </w:pPr>
            <w:r w:rsidRPr="00EE2AF5">
              <w:rPr>
                <w:rFonts w:ascii="Arial" w:hAnsi="Arial" w:cs="Arial"/>
                <w:sz w:val="22"/>
              </w:rPr>
              <w:t>+44(0)131-346-4154</w:t>
            </w:r>
          </w:p>
        </w:tc>
        <w:tc>
          <w:tcPr>
            <w:tcW w:w="3231" w:type="dxa"/>
            <w:vMerge/>
            <w:vAlign w:val="center"/>
          </w:tcPr>
          <w:p w14:paraId="67D7B734" w14:textId="77777777" w:rsidR="00372170" w:rsidRPr="00FF002D" w:rsidRDefault="00372170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372170" w:rsidRPr="00606B1E" w14:paraId="3DDC70DC" w14:textId="77777777" w:rsidTr="009F0CFA">
        <w:tc>
          <w:tcPr>
            <w:tcW w:w="637" w:type="dxa"/>
            <w:vAlign w:val="center"/>
          </w:tcPr>
          <w:p w14:paraId="59EF4743" w14:textId="77777777" w:rsidR="00372170" w:rsidRPr="00606B1E" w:rsidRDefault="00372170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A49FB18" wp14:editId="73328EBF">
                  <wp:extent cx="213360" cy="213360"/>
                  <wp:effectExtent l="0" t="0" r="0" b="0"/>
                  <wp:docPr id="9" name="Picture 9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4B8DBC4A" w14:textId="5DE2B95D" w:rsidR="00372170" w:rsidRPr="00CE148A" w:rsidRDefault="00941975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EE2AF5">
              <w:rPr>
                <w:rFonts w:ascii="Arial" w:hAnsi="Arial" w:cs="Arial"/>
                <w:sz w:val="22"/>
              </w:rPr>
              <w:t>dundas.energy@btinternet.com</w:t>
            </w:r>
          </w:p>
        </w:tc>
        <w:tc>
          <w:tcPr>
            <w:tcW w:w="3231" w:type="dxa"/>
            <w:vMerge/>
            <w:vAlign w:val="center"/>
          </w:tcPr>
          <w:p w14:paraId="177D52C1" w14:textId="77777777" w:rsidR="00372170" w:rsidRPr="00FF002D" w:rsidRDefault="00372170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372170" w:rsidRPr="00606B1E" w14:paraId="7913DEC4" w14:textId="77777777" w:rsidTr="009F0CFA">
        <w:trPr>
          <w:trHeight w:val="557"/>
        </w:trPr>
        <w:tc>
          <w:tcPr>
            <w:tcW w:w="637" w:type="dxa"/>
            <w:vAlign w:val="center"/>
          </w:tcPr>
          <w:p w14:paraId="4CE26AFB" w14:textId="77777777" w:rsidR="00372170" w:rsidRPr="00606B1E" w:rsidRDefault="00372170" w:rsidP="009F0CFA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59B3D14" wp14:editId="5F8326AB">
                  <wp:extent cx="170121" cy="170121"/>
                  <wp:effectExtent l="0" t="0" r="1905" b="1905"/>
                  <wp:docPr id="15" name="Picture 15" descr="Káº¿t quáº£ hÃ¬nh áº£nh cho special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áº¿t quáº£ hÃ¬nh áº£nh cho specializ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7" cy="17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252F0ED4" w14:textId="5F45B687" w:rsidR="00372170" w:rsidRPr="00CE148A" w:rsidRDefault="00D82751" w:rsidP="009F0CFA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82751">
              <w:rPr>
                <w:rFonts w:ascii="Arial" w:hAnsi="Arial" w:cs="Arial"/>
                <w:sz w:val="22"/>
              </w:rPr>
              <w:t>Trọng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tài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Hòa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giải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231" w:type="dxa"/>
            <w:vMerge/>
            <w:vAlign w:val="center"/>
          </w:tcPr>
          <w:p w14:paraId="1958A738" w14:textId="77777777" w:rsidR="00372170" w:rsidRPr="00FF002D" w:rsidRDefault="00372170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372170" w:rsidRPr="00606B1E" w14:paraId="76B910AB" w14:textId="77777777" w:rsidTr="009F0CFA">
        <w:trPr>
          <w:trHeight w:val="557"/>
        </w:trPr>
        <w:tc>
          <w:tcPr>
            <w:tcW w:w="637" w:type="dxa"/>
            <w:vAlign w:val="center"/>
          </w:tcPr>
          <w:p w14:paraId="0A55F3BA" w14:textId="77777777" w:rsidR="00372170" w:rsidRDefault="00372170" w:rsidP="009F0CFA">
            <w:pPr>
              <w:spacing w:line="276" w:lineRule="auto"/>
              <w:ind w:right="2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6F5872" wp14:editId="5BA0DD96">
                  <wp:extent cx="160934" cy="160934"/>
                  <wp:effectExtent l="0" t="0" r="0" b="0"/>
                  <wp:docPr id="10" name="Picture 10" descr="Kết quả hình ảnh cho langu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ết quả hình ảnh cho langu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29" cy="16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1E73D70D" w14:textId="5DEDFC13" w:rsidR="00372170" w:rsidRPr="00FF002D" w:rsidRDefault="00372170" w:rsidP="009F0CFA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43480">
              <w:rPr>
                <w:rFonts w:ascii="Arial" w:hAnsi="Arial" w:cs="Arial"/>
                <w:sz w:val="22"/>
              </w:rPr>
              <w:t>Tiếng</w:t>
            </w:r>
            <w:proofErr w:type="spellEnd"/>
            <w:r w:rsidRPr="00D43480">
              <w:rPr>
                <w:rFonts w:ascii="Arial" w:hAnsi="Arial" w:cs="Arial"/>
                <w:sz w:val="22"/>
              </w:rPr>
              <w:t xml:space="preserve"> Anh</w:t>
            </w:r>
          </w:p>
        </w:tc>
        <w:tc>
          <w:tcPr>
            <w:tcW w:w="3231" w:type="dxa"/>
            <w:vMerge/>
            <w:vAlign w:val="center"/>
          </w:tcPr>
          <w:p w14:paraId="5D0DD534" w14:textId="77777777" w:rsidR="00372170" w:rsidRPr="00FF002D" w:rsidRDefault="00372170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8D0551" w:rsidRPr="00606B1E" w14:paraId="201AB07A" w14:textId="77777777" w:rsidTr="009F0CFA">
        <w:tc>
          <w:tcPr>
            <w:tcW w:w="9990" w:type="dxa"/>
            <w:gridSpan w:val="5"/>
            <w:shd w:val="clear" w:color="auto" w:fill="D9D9D9" w:themeFill="background1" w:themeFillShade="D9"/>
          </w:tcPr>
          <w:p w14:paraId="7CAD5173" w14:textId="654A21F9" w:rsidR="008D0551" w:rsidRPr="00606B1E" w:rsidRDefault="00B90D2C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10/</w:t>
            </w:r>
            <w:r w:rsidR="008D0551">
              <w:rPr>
                <w:rFonts w:ascii="Arial" w:hAnsi="Arial" w:cs="Arial"/>
                <w:b/>
                <w:sz w:val="22"/>
                <w:u w:val="single"/>
              </w:rPr>
              <w:t xml:space="preserve">1998 </w:t>
            </w:r>
            <w:r>
              <w:rPr>
                <w:rFonts w:ascii="Arial" w:hAnsi="Arial" w:cs="Arial"/>
                <w:b/>
                <w:sz w:val="22"/>
                <w:u w:val="single"/>
              </w:rPr>
              <w:t>- nay</w:t>
            </w:r>
          </w:p>
        </w:tc>
      </w:tr>
      <w:tr w:rsidR="008D0551" w:rsidRPr="00606B1E" w14:paraId="0DAD5EAC" w14:textId="77777777" w:rsidTr="009F0CFA">
        <w:tc>
          <w:tcPr>
            <w:tcW w:w="9990" w:type="dxa"/>
            <w:gridSpan w:val="5"/>
          </w:tcPr>
          <w:p w14:paraId="474DC5E3" w14:textId="0756159E" w:rsidR="008D0551" w:rsidRPr="00606B1E" w:rsidRDefault="00B90D2C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proofErr w:type="spellStart"/>
            <w:r w:rsidRPr="00D82751">
              <w:rPr>
                <w:rFonts w:ascii="Arial" w:hAnsi="Arial" w:cs="Arial"/>
                <w:sz w:val="22"/>
              </w:rPr>
              <w:t>Trọng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tài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viên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điều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lệ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</w:t>
            </w:r>
            <w:r w:rsidRPr="00D82751">
              <w:rPr>
                <w:rFonts w:ascii="Arial" w:hAnsi="Arial" w:cs="Arial"/>
                <w:sz w:val="22"/>
              </w:rPr>
              <w:t>òa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giải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được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công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nhận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bởi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CEDR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và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​​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Người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xác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định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chuyên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gia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thực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tế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toàn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thời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gian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với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tư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cách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là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Người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thực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hành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duy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nhất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trong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Giải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quyết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tranh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chấp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cá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nhân</w:t>
            </w:r>
            <w:proofErr w:type="spellEnd"/>
            <w:r w:rsidR="008D0551" w:rsidRPr="00967CC6">
              <w:rPr>
                <w:rFonts w:ascii="Arial" w:hAnsi="Arial" w:cs="Arial"/>
                <w:sz w:val="22"/>
              </w:rPr>
              <w:t>;</w:t>
            </w:r>
          </w:p>
        </w:tc>
      </w:tr>
      <w:tr w:rsidR="008D0551" w:rsidRPr="00606B1E" w14:paraId="0E4FB364" w14:textId="77777777" w:rsidTr="009F0CFA">
        <w:tc>
          <w:tcPr>
            <w:tcW w:w="9990" w:type="dxa"/>
            <w:gridSpan w:val="5"/>
          </w:tcPr>
          <w:p w14:paraId="4F15B1B8" w14:textId="377EFCC8" w:rsidR="008D0551" w:rsidRPr="00606B1E" w:rsidRDefault="00BC084A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Từ</w:t>
            </w:r>
            <w:proofErr w:type="spellEnd"/>
            <w:r w:rsidR="008D0551" w:rsidRPr="00967CC6">
              <w:rPr>
                <w:rFonts w:ascii="Arial" w:hAnsi="Arial" w:cs="Arial"/>
                <w:sz w:val="22"/>
              </w:rPr>
              <w:t xml:space="preserve"> 1998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D0551" w:rsidRPr="00967CC6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D0551" w:rsidRPr="00967CC6">
              <w:rPr>
                <w:rFonts w:ascii="Arial" w:hAnsi="Arial" w:cs="Arial"/>
                <w:sz w:val="22"/>
              </w:rPr>
              <w:t xml:space="preserve">2001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hoạt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động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với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tư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cách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là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Dịch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vụ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Năng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lượng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của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Dundas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cung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cấp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> 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ngành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công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nghiệp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dầu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khí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đặc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biệt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và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> 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chuyên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môn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> 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khác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> 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có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được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từ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sự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nghiệp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ngành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dầu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khí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30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năm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trở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lên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>; 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cũng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cung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cấp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> 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chức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năng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pháp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lý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thuê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ngoài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cho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> 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khách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hàng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nhỏ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hơn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>. 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Khách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hàng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hợp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pháp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bao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gồm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các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công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ty E &amp; P,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công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ty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Luật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sư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Công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ty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bảo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C084A">
              <w:rPr>
                <w:rFonts w:ascii="Arial" w:hAnsi="Arial" w:cs="Arial"/>
                <w:sz w:val="22"/>
              </w:rPr>
              <w:t>hiểm</w:t>
            </w:r>
            <w:proofErr w:type="spellEnd"/>
            <w:r w:rsidRPr="00BC084A">
              <w:rPr>
                <w:rFonts w:ascii="Arial" w:hAnsi="Arial" w:cs="Arial"/>
                <w:sz w:val="22"/>
              </w:rPr>
              <w:t>, v.v.</w:t>
            </w:r>
          </w:p>
        </w:tc>
      </w:tr>
      <w:tr w:rsidR="008D0551" w:rsidRPr="00CB7FC5" w14:paraId="33F9CB76" w14:textId="77777777" w:rsidTr="009F0CFA">
        <w:tc>
          <w:tcPr>
            <w:tcW w:w="9990" w:type="dxa"/>
            <w:gridSpan w:val="5"/>
            <w:shd w:val="clear" w:color="auto" w:fill="D9D9D9" w:themeFill="background1" w:themeFillShade="D9"/>
          </w:tcPr>
          <w:p w14:paraId="22A1CB1D" w14:textId="21691AC2" w:rsidR="008D0551" w:rsidRPr="00CB7FC5" w:rsidRDefault="00BC084A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Kinh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nghiệm</w:t>
            </w:r>
            <w:proofErr w:type="spellEnd"/>
            <w:r w:rsidR="00F11FFA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="00F11FFA">
              <w:rPr>
                <w:rFonts w:ascii="Arial" w:hAnsi="Arial" w:cs="Arial"/>
                <w:b/>
                <w:sz w:val="22"/>
                <w:u w:val="single"/>
              </w:rPr>
              <w:t>chung</w:t>
            </w:r>
            <w:proofErr w:type="spellEnd"/>
            <w:r w:rsidR="00F11FFA">
              <w:rPr>
                <w:rFonts w:ascii="Arial" w:hAnsi="Arial" w:cs="Arial"/>
                <w:b/>
                <w:sz w:val="22"/>
                <w:u w:val="single"/>
              </w:rPr>
              <w:t>:</w:t>
            </w:r>
          </w:p>
        </w:tc>
      </w:tr>
      <w:tr w:rsidR="008D0551" w14:paraId="71F1CF30" w14:textId="77777777" w:rsidTr="009F0CFA">
        <w:tc>
          <w:tcPr>
            <w:tcW w:w="9990" w:type="dxa"/>
            <w:gridSpan w:val="5"/>
          </w:tcPr>
          <w:p w14:paraId="2666F559" w14:textId="42918C46" w:rsidR="00BC084A" w:rsidRDefault="00BC084A" w:rsidP="00BC084A">
            <w:pPr>
              <w:pStyle w:val="NormalWeb"/>
              <w:spacing w:before="120" w:beforeAutospacing="0" w:after="0" w:afterAutospacing="0" w:line="253" w:lineRule="atLeast"/>
              <w:ind w:left="360" w:right="27" w:hanging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 chi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thuật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dự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toán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kiểm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soát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chi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cho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thiết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mua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sắm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chế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tạo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hoạt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động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hàng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hải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14"/>
                <w:szCs w:val="14"/>
              </w:rPr>
              <w:t>         </w:t>
            </w:r>
          </w:p>
          <w:p w14:paraId="56DF2CAD" w14:textId="77777777" w:rsidR="00BC084A" w:rsidRDefault="00BC084A" w:rsidP="00BC084A">
            <w:pPr>
              <w:pStyle w:val="NormalWeb"/>
              <w:spacing w:before="0" w:beforeAutospacing="0" w:after="0" w:afterAutospacing="0" w:line="253" w:lineRule="atLeast"/>
              <w:ind w:left="360" w:right="27" w:hanging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 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xây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dựng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hợp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đồng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đánh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giá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thầu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đàm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phán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hợp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đồng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14"/>
                <w:szCs w:val="14"/>
              </w:rPr>
              <w:t>         </w:t>
            </w:r>
          </w:p>
          <w:p w14:paraId="4AC1BE6A" w14:textId="76CBD513" w:rsidR="00BC084A" w:rsidRDefault="00BC084A" w:rsidP="00BC084A">
            <w:pPr>
              <w:pStyle w:val="NormalWeb"/>
              <w:spacing w:before="0" w:beforeAutospacing="0" w:after="0" w:afterAutospacing="0" w:line="253" w:lineRule="atLeast"/>
              <w:ind w:left="360" w:right="27" w:hanging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 </w:t>
            </w:r>
            <w:proofErr w:type="spellStart"/>
            <w:r w:rsidR="00F11FFA">
              <w:rPr>
                <w:rFonts w:ascii="Arial" w:hAnsi="Arial" w:cs="Arial"/>
                <w:color w:val="000000"/>
                <w:sz w:val="22"/>
                <w:szCs w:val="22"/>
              </w:rPr>
              <w:t>quản</w:t>
            </w:r>
            <w:proofErr w:type="spellEnd"/>
            <w:r w:rsidR="00F11F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1FFA">
              <w:rPr>
                <w:rFonts w:ascii="Arial" w:hAnsi="Arial" w:cs="Arial"/>
                <w:color w:val="000000"/>
                <w:sz w:val="22"/>
                <w:szCs w:val="22"/>
              </w:rPr>
              <w:t>lý</w:t>
            </w:r>
            <w:proofErr w:type="spellEnd"/>
            <w:r w:rsidR="00F11F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1FFA">
              <w:rPr>
                <w:rFonts w:ascii="Arial" w:hAnsi="Arial" w:cs="Arial"/>
                <w:color w:val="000000"/>
                <w:sz w:val="22"/>
                <w:szCs w:val="22"/>
              </w:rPr>
              <w:t>hợp</w:t>
            </w:r>
            <w:proofErr w:type="spellEnd"/>
            <w:r w:rsidR="00F11F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1FFA">
              <w:rPr>
                <w:rFonts w:ascii="Arial" w:hAnsi="Arial" w:cs="Arial"/>
                <w:color w:val="000000"/>
                <w:sz w:val="22"/>
                <w:szCs w:val="22"/>
              </w:rPr>
              <w:t>đồng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14"/>
                <w:szCs w:val="14"/>
              </w:rPr>
              <w:t>         </w:t>
            </w:r>
          </w:p>
          <w:p w14:paraId="05B2D2FC" w14:textId="00EB00D9" w:rsidR="00BC084A" w:rsidRDefault="00BC084A" w:rsidP="00BC084A">
            <w:pPr>
              <w:pStyle w:val="NormalWeb"/>
              <w:spacing w:before="0" w:beforeAutospacing="0" w:after="0" w:afterAutospacing="0" w:line="253" w:lineRule="atLeast"/>
              <w:ind w:left="360" w:right="27" w:hanging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 </w:t>
            </w:r>
            <w:proofErr w:type="spellStart"/>
            <w:r w:rsidR="000D55E6">
              <w:rPr>
                <w:rFonts w:ascii="Arial" w:hAnsi="Arial" w:cs="Arial"/>
                <w:color w:val="000000"/>
                <w:sz w:val="22"/>
                <w:szCs w:val="22"/>
              </w:rPr>
              <w:t>kiểm</w:t>
            </w:r>
            <w:proofErr w:type="spellEnd"/>
            <w:r w:rsidR="000D55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55E6">
              <w:rPr>
                <w:rFonts w:ascii="Arial" w:hAnsi="Arial" w:cs="Arial"/>
                <w:color w:val="000000"/>
                <w:sz w:val="22"/>
                <w:szCs w:val="22"/>
              </w:rPr>
              <w:t>soát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hoạt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động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xây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dựng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đặc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biệt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là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khía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cạnh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chi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tài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chính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14"/>
                <w:szCs w:val="14"/>
              </w:rPr>
              <w:t>         </w:t>
            </w:r>
          </w:p>
          <w:p w14:paraId="3854C54B" w14:textId="77777777" w:rsidR="00BC084A" w:rsidRDefault="00BC084A" w:rsidP="00BC084A">
            <w:pPr>
              <w:pStyle w:val="NormalWeb"/>
              <w:spacing w:before="0" w:beforeAutospacing="0" w:after="0" w:afterAutospacing="0" w:line="253" w:lineRule="atLeast"/>
              <w:ind w:left="360" w:right="27" w:hanging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 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kiểm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soát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vật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liệu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trong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cả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hai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giai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đoạn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mua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sắm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chế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tạo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14"/>
                <w:szCs w:val="14"/>
              </w:rPr>
              <w:t>         </w:t>
            </w:r>
          </w:p>
          <w:p w14:paraId="7335CC76" w14:textId="0D481C00" w:rsidR="008D0551" w:rsidRPr="00D87006" w:rsidRDefault="00BC084A" w:rsidP="00D87006">
            <w:pPr>
              <w:rPr>
                <w:rFonts w:ascii="Arial" w:hAnsi="Arial" w:cs="Arial"/>
                <w:sz w:val="22"/>
              </w:rPr>
            </w:pPr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- 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tư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vấn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quản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lý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trong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các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lĩnh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vực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tài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chính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nói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chung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,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luật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và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 xml:space="preserve"> </w:t>
            </w:r>
            <w:proofErr w:type="spellStart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thuế</w:t>
            </w:r>
            <w:proofErr w:type="spellEnd"/>
            <w:r w:rsidRPr="00D87006">
              <w:rPr>
                <w:rFonts w:ascii="Arial" w:hAnsi="Arial" w:cs="Arial"/>
                <w:sz w:val="22"/>
                <w:shd w:val="clear" w:color="auto" w:fill="C9D7F1"/>
              </w:rPr>
              <w:t>.</w:t>
            </w:r>
          </w:p>
        </w:tc>
      </w:tr>
      <w:tr w:rsidR="008D0551" w:rsidRPr="008C34DB" w14:paraId="5D2DC7CF" w14:textId="77777777" w:rsidTr="009F0CFA">
        <w:trPr>
          <w:trHeight w:val="638"/>
        </w:trPr>
        <w:tc>
          <w:tcPr>
            <w:tcW w:w="9990" w:type="dxa"/>
            <w:gridSpan w:val="5"/>
            <w:shd w:val="clear" w:color="auto" w:fill="D9D9D9" w:themeFill="background1" w:themeFillShade="D9"/>
          </w:tcPr>
          <w:p w14:paraId="64A65C3F" w14:textId="04AAC949" w:rsidR="008D0551" w:rsidRPr="008C34DB" w:rsidRDefault="00CA625F" w:rsidP="009F0CFA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Trọng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tài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viên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Hòa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giải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viên</w:t>
            </w:r>
            <w:proofErr w:type="spellEnd"/>
          </w:p>
        </w:tc>
      </w:tr>
      <w:tr w:rsidR="008D0551" w:rsidRPr="008C34DB" w14:paraId="234F7291" w14:textId="77777777" w:rsidTr="009F0CFA">
        <w:tc>
          <w:tcPr>
            <w:tcW w:w="9990" w:type="dxa"/>
            <w:gridSpan w:val="5"/>
          </w:tcPr>
          <w:p w14:paraId="405731C2" w14:textId="77777777" w:rsidR="008D0551" w:rsidRPr="00BF52F3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Honorary Vice President, Scottish Arbitration Centre;</w:t>
            </w:r>
          </w:p>
          <w:p w14:paraId="6C1CA5FB" w14:textId="77777777" w:rsidR="008D0551" w:rsidRPr="00BF52F3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Past President of the Chartered Institute of Arbitrators (2007), the world’s premier such body with approx. 15,000 members in 130+ countries;</w:t>
            </w:r>
          </w:p>
          <w:p w14:paraId="22188B77" w14:textId="77777777" w:rsidR="008D0551" w:rsidRPr="00BF52F3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lastRenderedPageBreak/>
              <w:t>Chairman Advisory Board – Chinese European Arbitration Centre (Hamburg) (2008-date);</w:t>
            </w:r>
          </w:p>
          <w:p w14:paraId="22AB22AF" w14:textId="77777777" w:rsidR="008D0551" w:rsidRPr="00BF52F3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proofErr w:type="spellStart"/>
            <w:r w:rsidRPr="00BF52F3">
              <w:rPr>
                <w:rFonts w:ascii="Arial" w:hAnsi="Arial" w:cs="Arial"/>
                <w:sz w:val="22"/>
              </w:rPr>
              <w:t>Presidente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Honorario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, Centro International de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Arbitraje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e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Mediación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(Quito) (2007-date);</w:t>
            </w:r>
          </w:p>
          <w:p w14:paraId="1A5E4DDF" w14:textId="77777777" w:rsidR="008D0551" w:rsidRPr="00BF52F3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Substantial contributor to the development and drafting of the Arbitration (Scotland) Act 2010 including 42,000 words of submissions, analyses and briefings (see also below);</w:t>
            </w:r>
          </w:p>
          <w:p w14:paraId="2EDE23A1" w14:textId="77777777" w:rsidR="008D0551" w:rsidRPr="00BF52F3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 xml:space="preserve">Co-Author of the definitive book “Dundas &amp;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Bartos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on the Arbitration (Scotland) Act 2010” (2nd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edn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pub. W Green &amp; Co August 2014; ISBN 978-0-414-01927-0)</w:t>
            </w:r>
          </w:p>
          <w:p w14:paraId="1B099322" w14:textId="77777777" w:rsidR="008D0551" w:rsidRPr="00BF52F3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 xml:space="preserve">Co-Author of ICCA National Report on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Việt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Nam (2012; revised 2015, 2016, 2017 and 2018)</w:t>
            </w:r>
          </w:p>
          <w:p w14:paraId="595E494E" w14:textId="77777777" w:rsidR="008D0551" w:rsidRPr="00BF52F3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 xml:space="preserve">Chartered Arbitrator (May 2003);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FCIArb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August 2001; winner of the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CIArb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President’s Prize for the highest mark in the final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FCIArb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examination paper (Part 2C – Award Writing);</w:t>
            </w:r>
          </w:p>
          <w:p w14:paraId="112F19E5" w14:textId="77777777" w:rsidR="008D0551" w:rsidRPr="00BF52F3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Diploma in International Commercial Arbitration (January 2002);</w:t>
            </w:r>
          </w:p>
          <w:p w14:paraId="57011086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Memberships of Arbitration/Mediation Panels include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5EE3D692" w14:textId="77777777" w:rsidR="008D0551" w:rsidRPr="00BF52F3" w:rsidRDefault="008D0551" w:rsidP="008D055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President’s Panel of Chartered Arbitrators, Chartered Institute of Arbitrators;</w:t>
            </w:r>
          </w:p>
          <w:p w14:paraId="65AB7C79" w14:textId="77777777" w:rsidR="008D0551" w:rsidRPr="00BF52F3" w:rsidRDefault="008D0551" w:rsidP="008D055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Chairman’s Panel of Chartered Arbitrators, Chartered Institute of Arbitrators (Scottish Branch);</w:t>
            </w:r>
          </w:p>
          <w:p w14:paraId="7ED31B33" w14:textId="77777777" w:rsidR="008D0551" w:rsidRPr="00BF52F3" w:rsidRDefault="008D0551" w:rsidP="008D055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Beijing Arbitration Commission;</w:t>
            </w:r>
          </w:p>
          <w:p w14:paraId="03C76D4A" w14:textId="77777777" w:rsidR="008D0551" w:rsidRPr="00BF52F3" w:rsidRDefault="008D0551" w:rsidP="008D055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Singapore International Arbitration Centre;</w:t>
            </w:r>
          </w:p>
          <w:p w14:paraId="14B869CE" w14:textId="77777777" w:rsidR="008D0551" w:rsidRPr="00BF52F3" w:rsidRDefault="008D0551" w:rsidP="008D055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Kuala Lumpur Regional Centre for Arbitration;</w:t>
            </w:r>
          </w:p>
          <w:p w14:paraId="01BFC6FA" w14:textId="77777777" w:rsidR="008D0551" w:rsidRPr="00BF52F3" w:rsidRDefault="008D0551" w:rsidP="008D055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Hong Kong International Arbitration Centre;</w:t>
            </w:r>
          </w:p>
          <w:p w14:paraId="35410EB5" w14:textId="77777777" w:rsidR="008D0551" w:rsidRPr="00BF52F3" w:rsidRDefault="008D0551" w:rsidP="008D055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</w:t>
            </w:r>
            <w:r w:rsidRPr="00BF52F3">
              <w:rPr>
                <w:rFonts w:ascii="Arial" w:hAnsi="Arial" w:cs="Arial"/>
                <w:sz w:val="22"/>
              </w:rPr>
              <w:t>ernational Arbitration Court of the Republic of Kazakhstan;</w:t>
            </w:r>
          </w:p>
          <w:p w14:paraId="1BDDFDD7" w14:textId="77777777" w:rsidR="008D0551" w:rsidRPr="00BF52F3" w:rsidRDefault="008D0551" w:rsidP="008D055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FINRA (formerly National Association of Securities Dealers) (USA/UK);</w:t>
            </w:r>
          </w:p>
          <w:p w14:paraId="2E5FE18C" w14:textId="77777777" w:rsidR="008D0551" w:rsidRPr="00BF52F3" w:rsidRDefault="008D0551" w:rsidP="008D055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Chicago International Dispute Resolution Association;</w:t>
            </w:r>
          </w:p>
          <w:p w14:paraId="2F5C736E" w14:textId="77777777" w:rsidR="008D0551" w:rsidRPr="00BF52F3" w:rsidRDefault="008D0551" w:rsidP="008D055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FICCI Arbitration &amp; Conciliation Tribunal (India);</w:t>
            </w:r>
          </w:p>
          <w:p w14:paraId="08C505F3" w14:textId="77777777" w:rsidR="008D0551" w:rsidRPr="00BF52F3" w:rsidRDefault="008D0551" w:rsidP="008D055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Permanent Court of Arbitration CCIS (Slovenia);</w:t>
            </w:r>
          </w:p>
          <w:p w14:paraId="0981FD98" w14:textId="77777777" w:rsidR="008D0551" w:rsidRDefault="008D0551" w:rsidP="008D055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Baltic Exchange Mediation Panel.</w:t>
            </w:r>
          </w:p>
          <w:p w14:paraId="5AEA5A2D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Past Master (2011-12), Worshipful Company of Arbitrators; Liveryman, Worshipful Company of Shipwrights;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 xml:space="preserve">Liveryman and Court Assistant,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Honourable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Company of Master Mariners; Liveryman, Worshipful Company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>of Musicians; Freeman of the City of London; Burgess of the City of Edinburgh; Member, Royal Company of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>Merchants of the City of Edinburgh.</w:t>
            </w:r>
          </w:p>
          <w:p w14:paraId="6B9265C2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Other Memberships: London Court of International Arbitration; London Maritime Arbitrators’ Association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>(S/M); International Arbitration Club; founding Chairman Oil &amp; Gas Branch of The Arbitration Club; founder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>of the Financial Sector Branch of The Arbitration Club; Colegio de Abogados de Pichincha (Quito) (H/M);</w:t>
            </w:r>
          </w:p>
          <w:p w14:paraId="6A56B584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External Examiner (PhD), Centre for Energy, Petroleum &amp; Mineral Law and Policy, University of Dundee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 xml:space="preserve">(2005ff);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CIArb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Chief Examiner – International Award Writing (2003-2006); Member of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CIArb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Mediation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>Assessment Appeals Panel (2005-2008);</w:t>
            </w:r>
          </w:p>
          <w:p w14:paraId="1B7E747A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Pr="00BF52F3">
              <w:rPr>
                <w:rFonts w:ascii="Arial" w:hAnsi="Arial" w:cs="Arial"/>
                <w:sz w:val="22"/>
              </w:rPr>
              <w:t>rbitrations include ICC, LCIA and SIAC international cases, Nigerian domestic and international cases and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>also Scottish and English domestic cases; parties involved have included Governments, State-Operated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>Enterprises, commercial companies of all sizes from giant multinationals to 1-man bands, private parties and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>individuals; recent cases have involved parties from India, Australia, Iraq, Nigeria, USA, Canada, France,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>Germany, Luxemburg, the PRC, HK, UAE, Croatia, Spain, Turkey, Russia et al.;</w:t>
            </w:r>
          </w:p>
          <w:p w14:paraId="5D4738E5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CEDR-Accredited Mediator (June 2000) including international mediation;</w:t>
            </w:r>
          </w:p>
          <w:p w14:paraId="105E9B76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Former Director (2006-12) of Scottish Mediation Network Ltd, the umbrella body for all forms of mediation in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>Scotland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187EB16C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 xml:space="preserve">Contributor to “A Liber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Amicorum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Thomas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Wälde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>: Law Beyond Conventional Thought” (pub. Cameron May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>2009; ISBN 978-1-907174-01-8);</w:t>
            </w:r>
            <w:r w:rsidRPr="00BF52F3">
              <w:rPr>
                <w:rFonts w:ascii="Arial" w:hAnsi="Arial" w:cs="Arial"/>
                <w:sz w:val="22"/>
              </w:rPr>
              <w:t> Contributor to “International Arbitration and International Commercial Law: Synergy, Convergence and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 xml:space="preserve">Evolution – A Liber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Amicorum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Eric Bergsten” (pub. Kluwer 2011; ISBN 978-9-0411-3522-3);</w:t>
            </w:r>
          </w:p>
          <w:p w14:paraId="4F692E83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Contributor to “Arbitration in England &amp; Wales with Chapters on Scotland and Ireland” (pub. Kluwer 2014;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F52F3">
              <w:rPr>
                <w:rFonts w:ascii="Arial" w:hAnsi="Arial" w:cs="Arial"/>
                <w:sz w:val="22"/>
              </w:rPr>
              <w:t>ISBN 978-9-0411-3998-6);</w:t>
            </w:r>
          </w:p>
          <w:p w14:paraId="112A2CDD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 xml:space="preserve">Co-Author of “The </w:t>
            </w:r>
            <w:proofErr w:type="spellStart"/>
            <w:r w:rsidRPr="00BF52F3">
              <w:rPr>
                <w:rFonts w:ascii="Arial" w:hAnsi="Arial" w:cs="Arial"/>
                <w:sz w:val="22"/>
              </w:rPr>
              <w:t>Danubia</w:t>
            </w:r>
            <w:proofErr w:type="spellEnd"/>
            <w:r w:rsidRPr="00BF52F3">
              <w:rPr>
                <w:rFonts w:ascii="Arial" w:hAnsi="Arial" w:cs="Arial"/>
                <w:sz w:val="22"/>
              </w:rPr>
              <w:t xml:space="preserve"> Files – Award-Writing Lessons from the Vis Moot” (pub. Outskirts Press 2013;</w:t>
            </w:r>
          </w:p>
          <w:p w14:paraId="1A07C286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BF52F3">
              <w:rPr>
                <w:rFonts w:ascii="Arial" w:hAnsi="Arial" w:cs="Arial"/>
                <w:sz w:val="22"/>
              </w:rPr>
              <w:t>ISBN 978-1-4787-1179-7);</w:t>
            </w:r>
          </w:p>
          <w:p w14:paraId="36BE56E9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lastRenderedPageBreak/>
              <w:t>Co-Author of the Scottish chapter in “Interim Measures in International Arbitration” (eds. Newman/Ong; pub.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Juris 2015; ISBN 978-1-937518-40-0)</w:t>
            </w:r>
          </w:p>
          <w:p w14:paraId="3F190661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 xml:space="preserve">Author of approx. 200 articles on arbitration and related matters including 101 for the </w:t>
            </w:r>
            <w:proofErr w:type="spellStart"/>
            <w:r w:rsidRPr="008C34DB">
              <w:rPr>
                <w:rFonts w:ascii="Arial" w:hAnsi="Arial" w:cs="Arial"/>
                <w:sz w:val="22"/>
              </w:rPr>
              <w:t>CIArb’s</w:t>
            </w:r>
            <w:proofErr w:type="spellEnd"/>
            <w:r w:rsidRPr="008C34DB">
              <w:rPr>
                <w:rFonts w:ascii="Arial" w:hAnsi="Arial" w:cs="Arial"/>
                <w:sz w:val="22"/>
              </w:rPr>
              <w:t xml:space="preserve"> journal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“ARBITRATION”</w:t>
            </w:r>
          </w:p>
          <w:p w14:paraId="3E1699FF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 xml:space="preserve">Contributor to “ARBITRATION” (journal of </w:t>
            </w:r>
            <w:proofErr w:type="spellStart"/>
            <w:r w:rsidRPr="008C34DB">
              <w:rPr>
                <w:rFonts w:ascii="Arial" w:hAnsi="Arial" w:cs="Arial"/>
                <w:sz w:val="22"/>
              </w:rPr>
              <w:t>CIArb</w:t>
            </w:r>
            <w:proofErr w:type="spellEnd"/>
            <w:r w:rsidRPr="008C34DB">
              <w:rPr>
                <w:rFonts w:ascii="Arial" w:hAnsi="Arial" w:cs="Arial"/>
                <w:sz w:val="22"/>
              </w:rPr>
              <w:t>), “International Arbitration News” (ABA), International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Litigation Quarterly (ABA), “ТРЕТЕЙСКИЙ СУД” (Moscow), ΜЕЖДУНАРОДНЫЙ КОММЕРЧЕСКИЙ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АРБИТРАЖ (“International Commercial Arbitration”) (Moscow), “Asian Dispute Review” (Hong Kong);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“Arbitration Bulletin” (Almaty), OGEL, TDM, Money-Laundering Journal, International Energy Law Review,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Dispute Resolution International and others; writer/publisher of own arbitration/dispute resolution law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newsletter;</w:t>
            </w:r>
          </w:p>
          <w:p w14:paraId="041E8E8D" w14:textId="77777777" w:rsidR="008D0551" w:rsidRPr="008C34DB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Regular lecturer on legal and arbitral topics at Edinburgh, Aberdeen and (since 1991) Dundee Universities;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occasional lecturer at Hull, Kingston, Brunel, Robert Gordon and Strathclyde Universities in the UK and at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universities in Beijing, Quito and Vienna;</w:t>
            </w:r>
          </w:p>
        </w:tc>
      </w:tr>
      <w:tr w:rsidR="008D0551" w:rsidRPr="00AB2E1E" w14:paraId="0663E8F1" w14:textId="77777777" w:rsidTr="009F0CFA">
        <w:tc>
          <w:tcPr>
            <w:tcW w:w="9990" w:type="dxa"/>
            <w:gridSpan w:val="5"/>
            <w:shd w:val="clear" w:color="auto" w:fill="D9D9D9" w:themeFill="background1" w:themeFillShade="D9"/>
          </w:tcPr>
          <w:p w14:paraId="39EAF91F" w14:textId="5066F12A" w:rsidR="008D0551" w:rsidRPr="00AB2E1E" w:rsidRDefault="00A53924" w:rsidP="009F0CFA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u w:val="single"/>
              </w:rPr>
            </w:pPr>
            <w:proofErr w:type="spellStart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lastRenderedPageBreak/>
              <w:t>Tư</w:t>
            </w:r>
            <w:proofErr w:type="spellEnd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>vấn</w:t>
            </w:r>
            <w:proofErr w:type="spellEnd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>quản</w:t>
            </w:r>
            <w:proofErr w:type="spellEnd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>lý</w:t>
            </w:r>
            <w:proofErr w:type="spellEnd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>rủi</w:t>
            </w:r>
            <w:proofErr w:type="spellEnd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>ro</w:t>
            </w:r>
            <w:proofErr w:type="spellEnd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>và</w:t>
            </w:r>
            <w:proofErr w:type="spellEnd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>luật</w:t>
            </w:r>
            <w:proofErr w:type="spellEnd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>dầu</w:t>
            </w:r>
            <w:proofErr w:type="spellEnd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>khí</w:t>
            </w:r>
            <w:proofErr w:type="spellEnd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>quốc</w:t>
            </w:r>
            <w:proofErr w:type="spellEnd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>tế</w:t>
            </w:r>
            <w:proofErr w:type="spellEnd"/>
            <w:r w:rsidRPr="00A53924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(1998-2001)</w:t>
            </w:r>
          </w:p>
        </w:tc>
      </w:tr>
      <w:tr w:rsidR="008D0551" w:rsidRPr="008C34DB" w14:paraId="78DCEB4F" w14:textId="77777777" w:rsidTr="009F0CFA">
        <w:tc>
          <w:tcPr>
            <w:tcW w:w="9990" w:type="dxa"/>
            <w:gridSpan w:val="5"/>
          </w:tcPr>
          <w:p w14:paraId="41EC0E63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Client - foreign State oil &amp; gas company: advised on petroleum taxation;</w:t>
            </w:r>
          </w:p>
          <w:p w14:paraId="17F0C595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 xml:space="preserve">Client - foreign State oil &amp; gas company: advised on joint operating agreements and </w:t>
            </w:r>
            <w:proofErr w:type="spellStart"/>
            <w:r w:rsidRPr="008C34DB">
              <w:rPr>
                <w:rFonts w:ascii="Arial" w:hAnsi="Arial" w:cs="Arial"/>
                <w:sz w:val="22"/>
              </w:rPr>
              <w:t>licence</w:t>
            </w:r>
            <w:proofErr w:type="spellEnd"/>
            <w:r w:rsidRPr="008C34DB">
              <w:rPr>
                <w:rFonts w:ascii="Arial" w:hAnsi="Arial" w:cs="Arial"/>
                <w:sz w:val="22"/>
              </w:rPr>
              <w:t xml:space="preserve"> terms</w:t>
            </w:r>
          </w:p>
          <w:p w14:paraId="0AD8A1E6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Client - UK Solicitors: work on a £100m UKCS Sale &amp; Leaseback of an offshore production platform;</w:t>
            </w:r>
          </w:p>
          <w:p w14:paraId="33C7B3F2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 xml:space="preserve">Client - large UK E&amp;P company: advice on </w:t>
            </w:r>
            <w:proofErr w:type="spellStart"/>
            <w:r w:rsidRPr="008C34DB">
              <w:rPr>
                <w:rFonts w:ascii="Arial" w:hAnsi="Arial" w:cs="Arial"/>
                <w:sz w:val="22"/>
              </w:rPr>
              <w:t>specialised</w:t>
            </w:r>
            <w:proofErr w:type="spellEnd"/>
            <w:r w:rsidRPr="008C34DB">
              <w:rPr>
                <w:rFonts w:ascii="Arial" w:hAnsi="Arial" w:cs="Arial"/>
                <w:sz w:val="22"/>
              </w:rPr>
              <w:t xml:space="preserve"> aspects of project management of $1bn oil-field</w:t>
            </w:r>
            <w:r>
              <w:rPr>
                <w:rFonts w:ascii="Arial" w:hAnsi="Arial" w:cs="Arial"/>
                <w:sz w:val="22"/>
              </w:rPr>
              <w:t xml:space="preserve"> project in South America;</w:t>
            </w:r>
          </w:p>
          <w:p w14:paraId="0F4F1805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Client: small UK E&amp;P company: all legal/commercial work for acquisition of asset package in Middle East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involving complex issues of split equities, novel cross-indemnity arrangements and the laws of five different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jurisdictions;</w:t>
            </w:r>
          </w:p>
          <w:p w14:paraId="685927C5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Client - small non-UK E&amp;P company: preparation of complex interlocking suite of joint venture agreements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including novel AMI/JOA arrangements in respect of offshore acreage within one country’s EEZ;</w:t>
            </w:r>
          </w:p>
          <w:p w14:paraId="3F5793FF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Client - large UK E&amp;P company: preparation of detailed research paper on the application of International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Law of the Sea to the offshore E&amp;P industry of a developing country including consideration of applicability of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domestic laws;</w:t>
            </w:r>
          </w:p>
          <w:p w14:paraId="1DD578E7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Client – UK-based international consulting group: provision of preliminary tax advice in connection with 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project to revise substantially a developing country’s petroleum and petroleum tax laws;</w:t>
            </w:r>
          </w:p>
          <w:p w14:paraId="218BF28A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Client – Lloyds Underwriter: provision of comprehensive analysis of UK decommissioning laws (including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applicable international law) and of a draft proposed decommissioning insurance policy form;</w:t>
            </w:r>
          </w:p>
          <w:p w14:paraId="10E44997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Client - UK Solicitors: advised on the setting up of an Energy/Oil &amp; Gas Department;</w:t>
            </w:r>
          </w:p>
          <w:p w14:paraId="20E7D4D6" w14:textId="77777777" w:rsidR="008D0551" w:rsidRPr="008C34DB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Client - UK Solicitors: advised on the setting up of an office and associated business development in an Oil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City;</w:t>
            </w:r>
          </w:p>
        </w:tc>
      </w:tr>
      <w:tr w:rsidR="008D0551" w:rsidRPr="008C34DB" w14:paraId="057E55D4" w14:textId="77777777" w:rsidTr="009F0CFA">
        <w:tc>
          <w:tcPr>
            <w:tcW w:w="9990" w:type="dxa"/>
            <w:gridSpan w:val="5"/>
            <w:shd w:val="clear" w:color="auto" w:fill="D9D9D9" w:themeFill="background1" w:themeFillShade="D9"/>
          </w:tcPr>
          <w:p w14:paraId="4E3C202C" w14:textId="5A8892E4" w:rsidR="008D0551" w:rsidRDefault="00A53924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08/</w:t>
            </w:r>
            <w:r w:rsidR="008D0551" w:rsidRPr="008C34DB">
              <w:rPr>
                <w:rFonts w:ascii="Arial" w:hAnsi="Arial" w:cs="Arial"/>
                <w:b/>
                <w:sz w:val="22"/>
                <w:u w:val="single"/>
              </w:rPr>
              <w:t xml:space="preserve"> 1995 </w:t>
            </w:r>
            <w:r>
              <w:rPr>
                <w:rFonts w:ascii="Arial" w:hAnsi="Arial" w:cs="Arial"/>
                <w:b/>
                <w:sz w:val="22"/>
                <w:u w:val="single"/>
              </w:rPr>
              <w:t>–</w:t>
            </w:r>
            <w:r w:rsidR="008D0551" w:rsidRPr="008C34DB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u w:val="single"/>
              </w:rPr>
              <w:t>10/</w:t>
            </w:r>
            <w:r w:rsidR="008D0551" w:rsidRPr="008C34DB">
              <w:rPr>
                <w:rFonts w:ascii="Arial" w:hAnsi="Arial" w:cs="Arial"/>
                <w:b/>
                <w:sz w:val="22"/>
                <w:u w:val="single"/>
              </w:rPr>
              <w:t xml:space="preserve"> 1998 </w:t>
            </w:r>
          </w:p>
          <w:p w14:paraId="73AB162B" w14:textId="166206E0" w:rsidR="008D0551" w:rsidRPr="008C34DB" w:rsidRDefault="00CF2F2E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Tổng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Giám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đốc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Giám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đốc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Pháp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lý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Bảo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hiểm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kiêm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Thư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ký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Công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ty - </w:t>
            </w:r>
            <w:r w:rsidR="008D0551">
              <w:rPr>
                <w:rFonts w:ascii="Arial" w:hAnsi="Arial" w:cs="Arial"/>
                <w:b/>
                <w:sz w:val="22"/>
                <w:u w:val="single"/>
              </w:rPr>
              <w:t>Cairn Energy PLC</w:t>
            </w:r>
          </w:p>
        </w:tc>
      </w:tr>
      <w:tr w:rsidR="008D0551" w:rsidRPr="008C34DB" w14:paraId="097222FC" w14:textId="77777777" w:rsidTr="009F0CFA">
        <w:tc>
          <w:tcPr>
            <w:tcW w:w="9990" w:type="dxa"/>
            <w:gridSpan w:val="5"/>
          </w:tcPr>
          <w:p w14:paraId="5AAF5033" w14:textId="77777777" w:rsidR="008D0551" w:rsidRDefault="008D0551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Promotion to General Manager; appointed to Cairn Energy PLC Board of Man</w:t>
            </w:r>
            <w:r>
              <w:rPr>
                <w:rFonts w:ascii="Arial" w:hAnsi="Arial" w:cs="Arial"/>
                <w:sz w:val="22"/>
              </w:rPr>
              <w:t xml:space="preserve">agement w.e.f. 1st August 1995; </w:t>
            </w:r>
            <w:r w:rsidRPr="008C34DB">
              <w:rPr>
                <w:rFonts w:ascii="Arial" w:hAnsi="Arial" w:cs="Arial"/>
                <w:sz w:val="22"/>
              </w:rPr>
              <w:t>legal responsibilities continuation of previous period: in particular:</w:t>
            </w:r>
          </w:p>
          <w:p w14:paraId="12A4987C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directed all aspects (principally legal and taxation including designing a highly tax-efficient corporate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ownership structure) of the Cairn Group's purchase of the 250' 4-leg offshore jack-up rig Energy Explorer IV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involving lawyers in seven countries and tax advisers in four;</w:t>
            </w:r>
          </w:p>
          <w:p w14:paraId="4F7A8C5C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responsible for all legal and taxation aspects of 1997 $330m+ joint venture with Shell covering Bangladesh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and parts of India, a highly innovative and complex commercial concept matched by equally innovative legal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 xml:space="preserve">concepts; in 1998 prepared all legal documentation for, </w:t>
            </w:r>
            <w:proofErr w:type="spellStart"/>
            <w:r w:rsidRPr="008C34DB">
              <w:rPr>
                <w:rFonts w:ascii="Arial" w:hAnsi="Arial" w:cs="Arial"/>
                <w:sz w:val="22"/>
              </w:rPr>
              <w:t>finalised</w:t>
            </w:r>
            <w:proofErr w:type="spellEnd"/>
            <w:r w:rsidRPr="008C34DB">
              <w:rPr>
                <w:rFonts w:ascii="Arial" w:hAnsi="Arial" w:cs="Arial"/>
                <w:sz w:val="22"/>
              </w:rPr>
              <w:t xml:space="preserve"> and closed down second stage in only 5½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days;</w:t>
            </w:r>
          </w:p>
          <w:p w14:paraId="2B6791EB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lastRenderedPageBreak/>
              <w:t>responsible for all legal aspects of 1996-97 £200m takeover of Command Petroleum Limited (Australia)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including detailed involvement with Australian corporate and securities laws and US securities law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implications; completed minority buy-out in (apparently) record time;</w:t>
            </w:r>
          </w:p>
          <w:p w14:paraId="3F55BECF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Managing Director of Cairn's international group holding company network and extensively involved in the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international tax planning and legal aspects thereof;</w:t>
            </w:r>
          </w:p>
          <w:p w14:paraId="5785EE41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 xml:space="preserve">developed and directed all contracting aspects of Cairn's Bangladesh offshore drilling </w:t>
            </w:r>
            <w:proofErr w:type="spellStart"/>
            <w:r w:rsidRPr="008C34DB">
              <w:rPr>
                <w:rFonts w:ascii="Arial" w:hAnsi="Arial" w:cs="Arial"/>
                <w:sz w:val="22"/>
              </w:rPr>
              <w:t>programme</w:t>
            </w:r>
            <w:proofErr w:type="spellEnd"/>
            <w:r w:rsidRPr="008C34DB">
              <w:rPr>
                <w:rFonts w:ascii="Arial" w:hAnsi="Arial" w:cs="Arial"/>
                <w:sz w:val="22"/>
              </w:rPr>
              <w:t>, the first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 xml:space="preserve">such </w:t>
            </w:r>
            <w:proofErr w:type="spellStart"/>
            <w:r w:rsidRPr="008C34DB">
              <w:rPr>
                <w:rFonts w:ascii="Arial" w:hAnsi="Arial" w:cs="Arial"/>
                <w:sz w:val="22"/>
              </w:rPr>
              <w:t>programme</w:t>
            </w:r>
            <w:proofErr w:type="spellEnd"/>
            <w:r w:rsidRPr="008C34DB">
              <w:rPr>
                <w:rFonts w:ascii="Arial" w:hAnsi="Arial" w:cs="Arial"/>
                <w:sz w:val="22"/>
              </w:rPr>
              <w:t xml:space="preserve"> offshore Bangladesh since the 1970s, including development of standard form contracts,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negotiations with contractors, dispute resolution &amp;c;</w:t>
            </w:r>
          </w:p>
          <w:p w14:paraId="48121266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continuing responsibility for Cairn's worldwide legal affairs with most legal work handled in-house except in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respect of the USA or Australia or where prevented by language;</w:t>
            </w:r>
            <w:r w:rsidRPr="008C34DB">
              <w:rPr>
                <w:rFonts w:ascii="Arial" w:hAnsi="Arial" w:cs="Arial"/>
                <w:sz w:val="22"/>
              </w:rPr>
              <w:t> responsible for all Cairn Group's Energy Insurances; directed placing of Political Risk Insurance for Cairn's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Bangladeshi gas field development, the first such insurance ever created;</w:t>
            </w:r>
          </w:p>
          <w:p w14:paraId="7858A446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Chief Compliance Officer for Cairn including liaison with London, Amsterdam and Sydney Stock Exchanges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regarding compliance, Yellow Book and other issues;</w:t>
            </w:r>
          </w:p>
          <w:p w14:paraId="7BA30DBB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responsible for six Solicitors and one graduate Legal Assistant in addition to directing and controlling work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farmed-out to external firms of Solicitors;</w:t>
            </w:r>
          </w:p>
          <w:p w14:paraId="3952CC53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 xml:space="preserve">occasional informal legal adviser to Bangladesh Ministry of Law, to </w:t>
            </w:r>
            <w:proofErr w:type="spellStart"/>
            <w:r w:rsidRPr="008C34DB">
              <w:rPr>
                <w:rFonts w:ascii="Arial" w:hAnsi="Arial" w:cs="Arial"/>
                <w:sz w:val="22"/>
              </w:rPr>
              <w:t>PetroVietnam</w:t>
            </w:r>
            <w:proofErr w:type="spellEnd"/>
            <w:r w:rsidRPr="008C34DB">
              <w:rPr>
                <w:rFonts w:ascii="Arial" w:hAnsi="Arial" w:cs="Arial"/>
                <w:sz w:val="22"/>
              </w:rPr>
              <w:t xml:space="preserve"> (Vietnamese State oil &amp;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gas company) and to New Zealand Ministry of Commerce (latter as member of panel of international lawyers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reviewing draft petroleum legislation and regulations);</w:t>
            </w:r>
          </w:p>
          <w:p w14:paraId="38755CB3" w14:textId="77777777" w:rsidR="008D0551" w:rsidRPr="008C34DB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occasional visiting Lecturer at Centre for Energy, Petroleum and Mineral Law and Policy and at Faculty of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Law, University of Dundee including acting as referee or otherwise advising on Ph.D. and LL.M. theses on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Petroleum and Insurance Law;</w:t>
            </w:r>
          </w:p>
        </w:tc>
      </w:tr>
      <w:tr w:rsidR="008D0551" w:rsidRPr="008C34DB" w14:paraId="4D0D734F" w14:textId="77777777" w:rsidTr="009F0CFA">
        <w:tc>
          <w:tcPr>
            <w:tcW w:w="9990" w:type="dxa"/>
            <w:gridSpan w:val="5"/>
            <w:shd w:val="clear" w:color="auto" w:fill="D9D9D9" w:themeFill="background1" w:themeFillShade="D9"/>
          </w:tcPr>
          <w:p w14:paraId="7AB4DCDC" w14:textId="3A060C5F" w:rsidR="008D0551" w:rsidRDefault="00CF2F2E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lastRenderedPageBreak/>
              <w:t>10/</w:t>
            </w:r>
            <w:r w:rsidR="008D0551" w:rsidRPr="008C34DB">
              <w:rPr>
                <w:rFonts w:ascii="Arial" w:hAnsi="Arial" w:cs="Arial"/>
                <w:b/>
                <w:sz w:val="22"/>
                <w:u w:val="single"/>
              </w:rPr>
              <w:t xml:space="preserve"> 1993 </w:t>
            </w:r>
            <w:r w:rsidR="00AA1833">
              <w:rPr>
                <w:rFonts w:ascii="Arial" w:hAnsi="Arial" w:cs="Arial"/>
                <w:b/>
                <w:sz w:val="22"/>
                <w:u w:val="single"/>
              </w:rPr>
              <w:t>–</w:t>
            </w:r>
            <w:r w:rsidR="008D0551" w:rsidRPr="008C34DB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AA1833">
              <w:rPr>
                <w:rFonts w:ascii="Arial" w:hAnsi="Arial" w:cs="Arial"/>
                <w:b/>
                <w:sz w:val="22"/>
                <w:u w:val="single"/>
              </w:rPr>
              <w:t>7/</w:t>
            </w:r>
            <w:r w:rsidR="008D0551" w:rsidRPr="008C34DB">
              <w:rPr>
                <w:rFonts w:ascii="Arial" w:hAnsi="Arial" w:cs="Arial"/>
                <w:b/>
                <w:sz w:val="22"/>
                <w:u w:val="single"/>
              </w:rPr>
              <w:t xml:space="preserve"> 1995</w:t>
            </w:r>
          </w:p>
          <w:p w14:paraId="0789D06C" w14:textId="01E6098C" w:rsidR="008D0551" w:rsidRPr="008C34DB" w:rsidRDefault="00AA1833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Giám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đốc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Pháp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lý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Thư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ký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công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ty</w:t>
            </w:r>
            <w:r w:rsidR="008D0551">
              <w:rPr>
                <w:rFonts w:ascii="Arial" w:hAnsi="Arial" w:cs="Arial"/>
                <w:b/>
                <w:sz w:val="22"/>
                <w:u w:val="single"/>
              </w:rPr>
              <w:t xml:space="preserve"> - Cairn Energy PLC</w:t>
            </w:r>
          </w:p>
        </w:tc>
      </w:tr>
      <w:tr w:rsidR="008D0551" w:rsidRPr="008C34DB" w14:paraId="783D1431" w14:textId="77777777" w:rsidTr="009F0CFA">
        <w:tc>
          <w:tcPr>
            <w:tcW w:w="9990" w:type="dxa"/>
            <w:gridSpan w:val="5"/>
          </w:tcPr>
          <w:p w14:paraId="180D80C2" w14:textId="77777777" w:rsidR="008D0551" w:rsidRDefault="008D0551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Promotion to Company Secretary w.e.f. 1st October 1993;</w:t>
            </w:r>
          </w:p>
          <w:p w14:paraId="59114AE5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primary responsibility for both negotiations and completion of share option agreements, pursuant to which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Cairn took control of a listed independent oil &amp; gas company in The Netherlands, and for acquisition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documentation re that company including UK and Netherlands shareholder circulars; sole responsibility for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statutory buy-out of minority shareholders, achieved (apparently) in record time;</w:t>
            </w:r>
          </w:p>
          <w:p w14:paraId="07732AC8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responsible for negotiations with Bangladesh Government over Cairn's taking an interest in, and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operatorship of, an offshore block including drafting all documentation under Bangladesh law; my redraft of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the Bangladesh Production Sharing Contract (PSC) has substantially become the official Bangladesh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standard-form PSC;</w:t>
            </w:r>
          </w:p>
          <w:p w14:paraId="683CEA3C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responsible for farm-in negotiations with US oil company entering into Vietnamese exploration, including US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law of the Embargo; these were completed prior to the lifting of the embargo - the only US oil company to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achieve an interest in Vietnam prior to the lift; responsible for subsequent negotiations with Vietnamese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authorities to allow US company to commence work in Vietnam;</w:t>
            </w:r>
          </w:p>
          <w:p w14:paraId="03F2E6C1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primary responsibility for Cairn's entry into China including negotiation of Cairn's first Petroleum Contract with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a subsidiary of CNOOC;</w:t>
            </w:r>
          </w:p>
          <w:p w14:paraId="188B1D42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primary responsibilities for negotiation of Share Purchase Agreement by which Cairn acquired a company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owning a substantial producing interest in the UK North Sea and thereby increased its daily production by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80%;</w:t>
            </w:r>
          </w:p>
          <w:p w14:paraId="2BEE27B9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 xml:space="preserve">primary responsibility for legal implementation of divestment </w:t>
            </w:r>
            <w:proofErr w:type="spellStart"/>
            <w:r w:rsidRPr="008C34DB">
              <w:rPr>
                <w:rFonts w:ascii="Arial" w:hAnsi="Arial" w:cs="Arial"/>
                <w:sz w:val="22"/>
              </w:rPr>
              <w:t>programme</w:t>
            </w:r>
            <w:proofErr w:type="spellEnd"/>
            <w:r w:rsidRPr="008C34DB">
              <w:rPr>
                <w:rFonts w:ascii="Arial" w:hAnsi="Arial" w:cs="Arial"/>
                <w:sz w:val="22"/>
              </w:rPr>
              <w:t xml:space="preserve"> in respect of Cairn's US subsidiary,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including negotiations of share purchase agreements, public offering documentation, underwriting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 xml:space="preserve">agreements, SEC compliance </w:t>
            </w:r>
            <w:proofErr w:type="spellStart"/>
            <w:r w:rsidRPr="008C34DB">
              <w:rPr>
                <w:rFonts w:ascii="Arial" w:hAnsi="Arial" w:cs="Arial"/>
                <w:sz w:val="22"/>
              </w:rPr>
              <w:t>etc</w:t>
            </w:r>
            <w:proofErr w:type="spellEnd"/>
            <w:r w:rsidRPr="008C34DB">
              <w:rPr>
                <w:rFonts w:ascii="Arial" w:hAnsi="Arial" w:cs="Arial"/>
                <w:sz w:val="22"/>
              </w:rPr>
              <w:t>;</w:t>
            </w:r>
          </w:p>
          <w:p w14:paraId="6A76A744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 xml:space="preserve">planning and implementation of novel offer enabling small shareholders to exit Cairn shares </w:t>
            </w:r>
            <w:proofErr w:type="spellStart"/>
            <w:r w:rsidRPr="008C34DB">
              <w:rPr>
                <w:rFonts w:ascii="Arial" w:hAnsi="Arial" w:cs="Arial"/>
                <w:sz w:val="22"/>
              </w:rPr>
              <w:t>commissionfree</w:t>
            </w:r>
            <w:proofErr w:type="spellEnd"/>
            <w:r w:rsidRPr="008C34DB">
              <w:rPr>
                <w:rFonts w:ascii="Arial" w:hAnsi="Arial" w:cs="Arial"/>
                <w:sz w:val="22"/>
              </w:rPr>
              <w:t>, reportedly only the second time this had been done in this way;</w:t>
            </w:r>
          </w:p>
          <w:p w14:paraId="64FBCB58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proofErr w:type="spellStart"/>
            <w:r w:rsidRPr="008C34DB">
              <w:rPr>
                <w:rFonts w:ascii="Arial" w:hAnsi="Arial" w:cs="Arial"/>
                <w:sz w:val="22"/>
              </w:rPr>
              <w:t>organised</w:t>
            </w:r>
            <w:proofErr w:type="spellEnd"/>
            <w:r w:rsidRPr="008C34DB">
              <w:rPr>
                <w:rFonts w:ascii="Arial" w:hAnsi="Arial" w:cs="Arial"/>
                <w:sz w:val="22"/>
              </w:rPr>
              <w:t>, spoke at and co-chaired international oil insurance conference in London; spoke at and/or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chaired other conferences;</w:t>
            </w:r>
          </w:p>
          <w:p w14:paraId="2AB4E189" w14:textId="77777777" w:rsidR="008D0551" w:rsidRPr="008C34DB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lastRenderedPageBreak/>
              <w:t>contributor to legal texts: "Insurance and Legal Issues in the Oil Industry" and "European Community Energy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Law" (published by Graham &amp; Trotman in 1993 and 1994 respectively)</w:t>
            </w:r>
          </w:p>
        </w:tc>
      </w:tr>
      <w:tr w:rsidR="008D0551" w:rsidRPr="008C34DB" w14:paraId="7C124760" w14:textId="77777777" w:rsidTr="009F0CFA">
        <w:tc>
          <w:tcPr>
            <w:tcW w:w="9990" w:type="dxa"/>
            <w:gridSpan w:val="5"/>
            <w:shd w:val="clear" w:color="auto" w:fill="D9D9D9" w:themeFill="background1" w:themeFillShade="D9"/>
          </w:tcPr>
          <w:p w14:paraId="5A3C8A52" w14:textId="33B7AFF4" w:rsidR="008D0551" w:rsidRPr="008C34DB" w:rsidRDefault="000327D5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lastRenderedPageBreak/>
              <w:t>01/</w:t>
            </w:r>
            <w:r w:rsidR="008D0551" w:rsidRPr="008C34DB">
              <w:rPr>
                <w:rFonts w:ascii="Arial" w:hAnsi="Arial" w:cs="Arial"/>
                <w:b/>
                <w:sz w:val="22"/>
                <w:u w:val="single"/>
              </w:rPr>
              <w:t xml:space="preserve"> 1991 </w:t>
            </w:r>
            <w:r w:rsidR="00E8154B">
              <w:rPr>
                <w:rFonts w:ascii="Arial" w:hAnsi="Arial" w:cs="Arial"/>
                <w:b/>
                <w:sz w:val="22"/>
                <w:u w:val="single"/>
              </w:rPr>
              <w:t>–</w:t>
            </w:r>
            <w:r w:rsidR="008D0551" w:rsidRPr="008C34DB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E8154B">
              <w:rPr>
                <w:rFonts w:ascii="Arial" w:hAnsi="Arial" w:cs="Arial"/>
                <w:b/>
                <w:sz w:val="22"/>
                <w:u w:val="single"/>
              </w:rPr>
              <w:t>12/</w:t>
            </w:r>
            <w:r w:rsidR="008D0551" w:rsidRPr="008C34DB">
              <w:rPr>
                <w:rFonts w:ascii="Arial" w:hAnsi="Arial" w:cs="Arial"/>
                <w:b/>
                <w:sz w:val="22"/>
                <w:u w:val="single"/>
              </w:rPr>
              <w:t xml:space="preserve"> 1998</w:t>
            </w:r>
          </w:p>
          <w:p w14:paraId="0E20E75F" w14:textId="77777777" w:rsidR="00E8154B" w:rsidRPr="00E8154B" w:rsidRDefault="00E8154B" w:rsidP="00E8154B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</w:rPr>
            </w:pP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Ủy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ban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pháp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lý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diễn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đàn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E &amp; P: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Thành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viên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/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Phó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chủ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tịch</w:t>
            </w:r>
            <w:proofErr w:type="spellEnd"/>
          </w:p>
          <w:p w14:paraId="1F58D884" w14:textId="77777777" w:rsidR="00E8154B" w:rsidRPr="00E8154B" w:rsidRDefault="00E8154B" w:rsidP="00E8154B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</w:rPr>
            </w:pP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>Tháng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1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>năm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1991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>đến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>tháng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3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>năm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1999</w:t>
            </w:r>
          </w:p>
          <w:p w14:paraId="2E7711DA" w14:textId="77777777" w:rsidR="00E8154B" w:rsidRPr="00E8154B" w:rsidRDefault="00E8154B" w:rsidP="00E8154B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</w:rPr>
            </w:pP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Tiểu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ban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bảo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hiểm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diễn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đàn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E &amp; P: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Chủ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</w:rPr>
              <w:t>tịch</w:t>
            </w:r>
            <w:proofErr w:type="spellEnd"/>
          </w:p>
          <w:p w14:paraId="2E39D7A3" w14:textId="3EBC41BB" w:rsidR="008D0551" w:rsidRPr="00E8154B" w:rsidRDefault="00E8154B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</w:rPr>
            </w:pP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>Cố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>v</w:t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t>ấ</w:t>
            </w:r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>n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>pháp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>lý</w:t>
            </w:r>
            <w:proofErr w:type="spellEnd"/>
            <w:r w:rsidRPr="00E8154B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- BRINDEX</w:t>
            </w:r>
          </w:p>
        </w:tc>
      </w:tr>
      <w:tr w:rsidR="008D0551" w:rsidRPr="008C34DB" w14:paraId="0DC51846" w14:textId="77777777" w:rsidTr="009F0CFA">
        <w:tc>
          <w:tcPr>
            <w:tcW w:w="9990" w:type="dxa"/>
            <w:gridSpan w:val="5"/>
          </w:tcPr>
          <w:p w14:paraId="644932CC" w14:textId="77777777" w:rsidR="008D0551" w:rsidRPr="008C34DB" w:rsidRDefault="008D0551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BRINDEX: Association of British Oil Exploration Companies; E&amp;P Forum: Oil Industry International Exploration</w:t>
            </w:r>
          </w:p>
          <w:p w14:paraId="672E9EF0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and Production Forum, which represents the worldwide oil industry at Governmental level, principally with the EC;</w:t>
            </w:r>
          </w:p>
          <w:p w14:paraId="02944D6F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occasional (as required) Legal adviser to BRINDEX and its representative on the E&amp;P Forum Legal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Committee; appointed Vice-Chairman of E&amp;P Forum Legal Committee October 1992. founding Chairman of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Insurance Sub-Committee October 1993; work to date includes:</w:t>
            </w:r>
          </w:p>
          <w:p w14:paraId="0E6B528D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assessment of effects of draft Seveso Directive on UK Onshore Oilfield Installations; analysis of Services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Directive's effect on BRINDEX members;</w:t>
            </w:r>
          </w:p>
          <w:p w14:paraId="464A99AE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analysis of Licensing Directive's effect on BRINDEX/UKOOG members;</w:t>
            </w:r>
          </w:p>
          <w:p w14:paraId="36F68A5E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preparation of substantial paper on the effect of the Services Directive on Insurance Contracts, for the E&amp;P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Forum to submit to the EC direct. Representation of European Oil Industry in negotiations with European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Commission (DG III) in Brussels;</w:t>
            </w:r>
          </w:p>
          <w:p w14:paraId="2B27100A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provision of legal advice concerning draft Directives to form basis for submission of position papers to the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C34DB">
              <w:rPr>
                <w:rFonts w:ascii="Arial" w:hAnsi="Arial" w:cs="Arial"/>
                <w:sz w:val="22"/>
              </w:rPr>
              <w:t>European Commission;</w:t>
            </w:r>
          </w:p>
          <w:p w14:paraId="149F2BF3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8C34DB">
              <w:rPr>
                <w:rFonts w:ascii="Arial" w:hAnsi="Arial" w:cs="Arial"/>
                <w:sz w:val="22"/>
              </w:rPr>
              <w:t>ad-hoc advice of matters directly affecting the E&amp;P Forum;</w:t>
            </w:r>
          </w:p>
          <w:p w14:paraId="3965B45D" w14:textId="77777777" w:rsidR="008D0551" w:rsidRPr="008C34DB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proofErr w:type="spellStart"/>
            <w:r w:rsidRPr="008C34DB">
              <w:rPr>
                <w:rFonts w:ascii="Arial" w:hAnsi="Arial" w:cs="Arial"/>
                <w:sz w:val="22"/>
              </w:rPr>
              <w:t>organising</w:t>
            </w:r>
            <w:proofErr w:type="spellEnd"/>
            <w:r w:rsidRPr="008C34DB">
              <w:rPr>
                <w:rFonts w:ascii="Arial" w:hAnsi="Arial" w:cs="Arial"/>
                <w:sz w:val="22"/>
              </w:rPr>
              <w:t>, and speaking at, international oil insurance conference fo</w:t>
            </w:r>
            <w:r>
              <w:rPr>
                <w:rFonts w:ascii="Arial" w:hAnsi="Arial" w:cs="Arial"/>
                <w:sz w:val="22"/>
              </w:rPr>
              <w:t xml:space="preserve">r the Forum; editing book of the </w:t>
            </w:r>
            <w:r w:rsidRPr="008C34DB">
              <w:rPr>
                <w:rFonts w:ascii="Arial" w:hAnsi="Arial" w:cs="Arial"/>
                <w:sz w:val="22"/>
              </w:rPr>
              <w:t>Proceedings.</w:t>
            </w:r>
          </w:p>
        </w:tc>
      </w:tr>
      <w:tr w:rsidR="008D0551" w:rsidRPr="008C34DB" w14:paraId="1596D5F1" w14:textId="77777777" w:rsidTr="009F0CFA">
        <w:tc>
          <w:tcPr>
            <w:tcW w:w="9990" w:type="dxa"/>
            <w:gridSpan w:val="5"/>
          </w:tcPr>
          <w:p w14:paraId="5D40E9A7" w14:textId="065F12EC" w:rsidR="008D0551" w:rsidRPr="005362AD" w:rsidRDefault="003800A0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01/</w:t>
            </w:r>
            <w:r w:rsidR="008D0551" w:rsidRPr="005362AD">
              <w:rPr>
                <w:rFonts w:ascii="Arial" w:hAnsi="Arial" w:cs="Arial"/>
                <w:b/>
                <w:sz w:val="22"/>
                <w:u w:val="single"/>
              </w:rPr>
              <w:t xml:space="preserve"> 1991 </w:t>
            </w:r>
            <w:r>
              <w:rPr>
                <w:rFonts w:ascii="Arial" w:hAnsi="Arial" w:cs="Arial"/>
                <w:b/>
                <w:sz w:val="22"/>
                <w:u w:val="single"/>
              </w:rPr>
              <w:t>–</w:t>
            </w:r>
            <w:r w:rsidR="008D0551" w:rsidRPr="005362AD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u w:val="single"/>
              </w:rPr>
              <w:t>09/</w:t>
            </w:r>
            <w:r w:rsidR="008D0551" w:rsidRPr="005362AD">
              <w:rPr>
                <w:rFonts w:ascii="Arial" w:hAnsi="Arial" w:cs="Arial"/>
                <w:b/>
                <w:sz w:val="22"/>
                <w:u w:val="single"/>
              </w:rPr>
              <w:t xml:space="preserve"> 1993</w:t>
            </w:r>
          </w:p>
          <w:p w14:paraId="1E509CAA" w14:textId="73B005C4" w:rsidR="008D0551" w:rsidRPr="008C34DB" w:rsidRDefault="003800A0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Giám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đốc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Pháp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lý</w:t>
            </w:r>
            <w:proofErr w:type="spellEnd"/>
            <w:r w:rsidR="008D0551" w:rsidRPr="005362AD">
              <w:rPr>
                <w:rFonts w:ascii="Arial" w:hAnsi="Arial" w:cs="Arial"/>
                <w:b/>
                <w:sz w:val="22"/>
                <w:u w:val="single"/>
              </w:rPr>
              <w:t xml:space="preserve"> - Cairn Energy PLC</w:t>
            </w:r>
          </w:p>
        </w:tc>
      </w:tr>
      <w:tr w:rsidR="008D0551" w:rsidRPr="00EA3586" w14:paraId="51A3D940" w14:textId="77777777" w:rsidTr="009F0CFA">
        <w:tc>
          <w:tcPr>
            <w:tcW w:w="9990" w:type="dxa"/>
            <w:gridSpan w:val="5"/>
          </w:tcPr>
          <w:p w14:paraId="569A2A28" w14:textId="77777777" w:rsidR="008D0551" w:rsidRPr="005362AD" w:rsidRDefault="008D0551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5362AD">
              <w:rPr>
                <w:rFonts w:ascii="Arial" w:hAnsi="Arial" w:cs="Arial"/>
                <w:sz w:val="22"/>
              </w:rPr>
              <w:t>Joined permanent staff w.e.f. 1st January 1991, with promotion to Legal Manager:</w:t>
            </w:r>
          </w:p>
          <w:p w14:paraId="735035CB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5362AD">
              <w:rPr>
                <w:rFonts w:ascii="Arial" w:hAnsi="Arial" w:cs="Arial"/>
                <w:sz w:val="22"/>
              </w:rPr>
              <w:t>responsible for negotiations with Vietnamese Government over Cairn's assumption of operatorship of</w:t>
            </w:r>
            <w:r>
              <w:rPr>
                <w:rFonts w:ascii="Arial" w:hAnsi="Arial" w:cs="Arial"/>
                <w:sz w:val="22"/>
              </w:rPr>
              <w:t xml:space="preserve"> o</w:t>
            </w:r>
            <w:r w:rsidRPr="005362AD">
              <w:rPr>
                <w:rFonts w:ascii="Arial" w:hAnsi="Arial" w:cs="Arial"/>
                <w:sz w:val="22"/>
              </w:rPr>
              <w:t>ffshore block including drafting all documentation under Vietnamese law; responsible for setting up Cairn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5362AD">
              <w:rPr>
                <w:rFonts w:ascii="Arial" w:hAnsi="Arial" w:cs="Arial"/>
                <w:sz w:val="22"/>
              </w:rPr>
              <w:t xml:space="preserve">office in </w:t>
            </w:r>
            <w:proofErr w:type="spellStart"/>
            <w:r w:rsidRPr="005362AD">
              <w:rPr>
                <w:rFonts w:ascii="Arial" w:hAnsi="Arial" w:cs="Arial"/>
                <w:sz w:val="22"/>
              </w:rPr>
              <w:t>Hô</w:t>
            </w:r>
            <w:proofErr w:type="spellEnd"/>
            <w:r w:rsidRPr="005362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62AD">
              <w:rPr>
                <w:rFonts w:ascii="Arial" w:hAnsi="Arial" w:cs="Arial"/>
                <w:sz w:val="22"/>
              </w:rPr>
              <w:t>Chí</w:t>
            </w:r>
            <w:proofErr w:type="spellEnd"/>
            <w:r w:rsidRPr="005362AD">
              <w:rPr>
                <w:rFonts w:ascii="Arial" w:hAnsi="Arial" w:cs="Arial"/>
                <w:sz w:val="22"/>
              </w:rPr>
              <w:t xml:space="preserve"> Minh City; subsequently appointed General Director (</w:t>
            </w:r>
            <w:proofErr w:type="spellStart"/>
            <w:r w:rsidRPr="005362AD">
              <w:rPr>
                <w:rFonts w:ascii="Arial" w:hAnsi="Arial" w:cs="Arial"/>
                <w:sz w:val="22"/>
              </w:rPr>
              <w:t>ie</w:t>
            </w:r>
            <w:proofErr w:type="spellEnd"/>
            <w:r w:rsidRPr="005362AD">
              <w:rPr>
                <w:rFonts w:ascii="Arial" w:hAnsi="Arial" w:cs="Arial"/>
                <w:sz w:val="22"/>
              </w:rPr>
              <w:t xml:space="preserve"> local M/D) in overall charge of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5362AD">
              <w:rPr>
                <w:rFonts w:ascii="Arial" w:hAnsi="Arial" w:cs="Arial"/>
                <w:sz w:val="22"/>
              </w:rPr>
              <w:t>Cairn's Vietnamese venture;</w:t>
            </w:r>
          </w:p>
          <w:p w14:paraId="672C90D9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5362AD">
              <w:rPr>
                <w:rFonts w:ascii="Arial" w:hAnsi="Arial" w:cs="Arial"/>
                <w:sz w:val="22"/>
              </w:rPr>
              <w:t xml:space="preserve">prepared extensive analysis of draft Vietnam Petroleum Law at request of </w:t>
            </w:r>
            <w:proofErr w:type="spellStart"/>
            <w:r w:rsidRPr="005362AD">
              <w:rPr>
                <w:rFonts w:ascii="Arial" w:hAnsi="Arial" w:cs="Arial"/>
                <w:sz w:val="22"/>
              </w:rPr>
              <w:t>PetroVietnam</w:t>
            </w:r>
            <w:proofErr w:type="spellEnd"/>
            <w:r w:rsidRPr="005362AD">
              <w:rPr>
                <w:rFonts w:ascii="Arial" w:hAnsi="Arial" w:cs="Arial"/>
                <w:sz w:val="22"/>
              </w:rPr>
              <w:t>;</w:t>
            </w:r>
          </w:p>
          <w:p w14:paraId="33BDC873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5362AD">
              <w:rPr>
                <w:rFonts w:ascii="Arial" w:hAnsi="Arial" w:cs="Arial"/>
                <w:sz w:val="22"/>
              </w:rPr>
              <w:t>responsible for legal/commercial aspects of Cairn's operations in Vietnam, Papua New Guinea, Bangladesh,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5362AD">
              <w:rPr>
                <w:rFonts w:ascii="Arial" w:hAnsi="Arial" w:cs="Arial"/>
                <w:sz w:val="22"/>
              </w:rPr>
              <w:t xml:space="preserve">Thailand and New Zealand including </w:t>
            </w:r>
            <w:proofErr w:type="spellStart"/>
            <w:r w:rsidRPr="005362AD">
              <w:rPr>
                <w:rFonts w:ascii="Arial" w:hAnsi="Arial" w:cs="Arial"/>
                <w:sz w:val="22"/>
              </w:rPr>
              <w:t>licence</w:t>
            </w:r>
            <w:proofErr w:type="spellEnd"/>
            <w:r w:rsidRPr="005362AD">
              <w:rPr>
                <w:rFonts w:ascii="Arial" w:hAnsi="Arial" w:cs="Arial"/>
                <w:sz w:val="22"/>
              </w:rPr>
              <w:t>/contract/JOA negotiations with Ministries/Co-</w:t>
            </w:r>
            <w:proofErr w:type="spellStart"/>
            <w:r w:rsidRPr="005362AD">
              <w:rPr>
                <w:rFonts w:ascii="Arial" w:hAnsi="Arial" w:cs="Arial"/>
                <w:sz w:val="22"/>
              </w:rPr>
              <w:t>Venturers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</w:p>
          <w:p w14:paraId="12BFA1AC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5362AD">
              <w:rPr>
                <w:rFonts w:ascii="Arial" w:hAnsi="Arial" w:cs="Arial"/>
                <w:sz w:val="22"/>
              </w:rPr>
              <w:t>responsible for major acquisition, farm-in and other contract development, drafting negotiation and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62AD">
              <w:rPr>
                <w:rFonts w:ascii="Arial" w:hAnsi="Arial" w:cs="Arial"/>
                <w:sz w:val="22"/>
              </w:rPr>
              <w:t>finalisation</w:t>
            </w:r>
            <w:proofErr w:type="spellEnd"/>
            <w:r w:rsidRPr="005362AD">
              <w:rPr>
                <w:rFonts w:ascii="Arial" w:hAnsi="Arial" w:cs="Arial"/>
                <w:sz w:val="22"/>
              </w:rPr>
              <w:t>; significant contribution to major Farm-In/JOA negotiation under New Zealand law;</w:t>
            </w:r>
          </w:p>
          <w:p w14:paraId="5CA9F84F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EA3586">
              <w:rPr>
                <w:rFonts w:ascii="Arial" w:hAnsi="Arial" w:cs="Arial"/>
                <w:sz w:val="22"/>
              </w:rPr>
              <w:t>responsible for taking Cairn into petroleum price hedging, including all legal research and negotiation of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A3586">
              <w:rPr>
                <w:rFonts w:ascii="Arial" w:hAnsi="Arial" w:cs="Arial"/>
                <w:sz w:val="22"/>
              </w:rPr>
              <w:t>contracts with banks, crude traders et al;</w:t>
            </w:r>
          </w:p>
          <w:p w14:paraId="7FA7CAB5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EA3586">
              <w:rPr>
                <w:rFonts w:ascii="Arial" w:hAnsi="Arial" w:cs="Arial"/>
                <w:sz w:val="22"/>
              </w:rPr>
              <w:t>recruitment, training and supervision of Legal Assistant;</w:t>
            </w:r>
          </w:p>
          <w:p w14:paraId="6318840D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EA3586">
              <w:rPr>
                <w:rFonts w:ascii="Arial" w:hAnsi="Arial" w:cs="Arial"/>
                <w:sz w:val="22"/>
              </w:rPr>
              <w:t>representation of Cairn at BRINDEX Executive meetings (M/D level);</w:t>
            </w:r>
          </w:p>
          <w:p w14:paraId="3E8EE221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EA3586">
              <w:rPr>
                <w:rFonts w:ascii="Arial" w:hAnsi="Arial" w:cs="Arial"/>
                <w:sz w:val="22"/>
              </w:rPr>
              <w:t>articles published in Oil &amp; Gas Law &amp; Taxation Review, University of Kentucky Journal of Natural Resources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A3586">
              <w:rPr>
                <w:rFonts w:ascii="Arial" w:hAnsi="Arial" w:cs="Arial"/>
                <w:sz w:val="22"/>
              </w:rPr>
              <w:t>Law;</w:t>
            </w:r>
          </w:p>
          <w:p w14:paraId="0A85EC0D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EA3586">
              <w:rPr>
                <w:rFonts w:ascii="Arial" w:hAnsi="Arial" w:cs="Arial"/>
                <w:sz w:val="22"/>
              </w:rPr>
              <w:t>visiting Lecturer at Faculty of Law, University of Dundee;</w:t>
            </w:r>
          </w:p>
          <w:p w14:paraId="4EBD5CF4" w14:textId="77777777" w:rsidR="008D0551" w:rsidRPr="00EA3586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EA3586">
              <w:rPr>
                <w:rFonts w:ascii="Arial" w:hAnsi="Arial" w:cs="Arial"/>
                <w:sz w:val="22"/>
              </w:rPr>
              <w:lastRenderedPageBreak/>
              <w:t>co-chaired and spoke at annual international oil &amp; gas law conference in Dundee and at other legal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A3586">
              <w:rPr>
                <w:rFonts w:ascii="Arial" w:hAnsi="Arial" w:cs="Arial"/>
                <w:sz w:val="22"/>
              </w:rPr>
              <w:t>conferences.</w:t>
            </w:r>
          </w:p>
        </w:tc>
      </w:tr>
      <w:tr w:rsidR="008D0551" w:rsidRPr="008C34DB" w14:paraId="3C8106C5" w14:textId="77777777" w:rsidTr="009F0CFA">
        <w:tc>
          <w:tcPr>
            <w:tcW w:w="9990" w:type="dxa"/>
            <w:gridSpan w:val="5"/>
            <w:shd w:val="clear" w:color="auto" w:fill="D9D9D9" w:themeFill="background1" w:themeFillShade="D9"/>
          </w:tcPr>
          <w:p w14:paraId="636A6502" w14:textId="77777777" w:rsidR="00E03C82" w:rsidRPr="00E03C82" w:rsidRDefault="00E03C82" w:rsidP="00E03C82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lastRenderedPageBreak/>
              <w:t>Tháng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11 </w:t>
            </w: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năm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1984 </w:t>
            </w: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đến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tháng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12 </w:t>
            </w: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năm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1990</w:t>
            </w:r>
          </w:p>
          <w:p w14:paraId="03B1E2A9" w14:textId="7A0A439C" w:rsidR="00E03C82" w:rsidRPr="00E03C82" w:rsidRDefault="00E03C82" w:rsidP="00E03C82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Tư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vấn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trở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thành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Nhà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điều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phối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hợp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pháp</w:t>
            </w:r>
            <w:proofErr w:type="spellEnd"/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Cairn Energy</w:t>
            </w:r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r w:rsidRPr="00E03C82">
              <w:rPr>
                <w:rFonts w:ascii="Arial" w:hAnsi="Arial" w:cs="Arial"/>
                <w:b/>
                <w:bCs/>
                <w:sz w:val="22"/>
                <w:u w:val="single"/>
              </w:rPr>
              <w:t>PLC</w:t>
            </w:r>
          </w:p>
          <w:p w14:paraId="73591B81" w14:textId="13FBB066" w:rsidR="008D0551" w:rsidRPr="00E03C82" w:rsidRDefault="00E03C82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Tạo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,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phát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triển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và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quản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lý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hai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doanh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nghiệp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riêng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biệt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với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tư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cách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là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chủ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sở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hữu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duy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E03C82">
              <w:rPr>
                <w:rFonts w:ascii="Arial" w:hAnsi="Arial" w:cs="Arial"/>
                <w:b/>
                <w:sz w:val="22"/>
                <w:u w:val="single"/>
              </w:rPr>
              <w:t>nhất</w:t>
            </w:r>
            <w:proofErr w:type="spellEnd"/>
            <w:r w:rsidRPr="00E03C82">
              <w:rPr>
                <w:rFonts w:ascii="Arial" w:hAnsi="Arial" w:cs="Arial"/>
                <w:b/>
                <w:sz w:val="22"/>
                <w:u w:val="single"/>
              </w:rPr>
              <w:t>:</w:t>
            </w:r>
          </w:p>
        </w:tc>
      </w:tr>
      <w:tr w:rsidR="008D0551" w:rsidRPr="008C34DB" w14:paraId="3B0967E4" w14:textId="77777777" w:rsidTr="009F0CFA">
        <w:tc>
          <w:tcPr>
            <w:tcW w:w="9990" w:type="dxa"/>
            <w:gridSpan w:val="5"/>
          </w:tcPr>
          <w:p w14:paraId="3CED846A" w14:textId="77777777" w:rsidR="008D0551" w:rsidRPr="00CB7FC5" w:rsidRDefault="008D0551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r w:rsidRPr="00CB7FC5">
              <w:rPr>
                <w:rFonts w:ascii="Arial" w:hAnsi="Arial" w:cs="Arial"/>
                <w:b/>
                <w:sz w:val="22"/>
                <w:u w:val="single"/>
              </w:rPr>
              <w:t>Petroleum Consultant</w:t>
            </w:r>
          </w:p>
          <w:p w14:paraId="7EFDAFF8" w14:textId="77777777" w:rsidR="008D0551" w:rsidRPr="00CB7FC5" w:rsidRDefault="008D0551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Advised range of clients, both individual and corporate, on commercial, legal and tax aspects of the petroleum</w:t>
            </w:r>
          </w:p>
          <w:p w14:paraId="6554B8A6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industry, both in the UK and internationally; areas of consultancy included the following:</w:t>
            </w:r>
          </w:p>
          <w:p w14:paraId="7E3CA65F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tax haven analysis related</w:t>
            </w:r>
            <w:r>
              <w:rPr>
                <w:rFonts w:ascii="Arial" w:hAnsi="Arial" w:cs="Arial"/>
                <w:sz w:val="22"/>
              </w:rPr>
              <w:t xml:space="preserve"> to offshore drilling ventures;</w:t>
            </w:r>
          </w:p>
          <w:p w14:paraId="77C78431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investigation of offshore banking regulations;</w:t>
            </w:r>
          </w:p>
          <w:p w14:paraId="3C274B67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advice on legal structuring of international petroleum ventures;</w:t>
            </w:r>
          </w:p>
          <w:p w14:paraId="4A849525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economic and commercial analysis of petroleum ventures;</w:t>
            </w:r>
          </w:p>
          <w:p w14:paraId="5B5A8767" w14:textId="77777777" w:rsidR="008D0551" w:rsidRPr="008C34DB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advice on UK petroleum law and taxation.</w:t>
            </w:r>
          </w:p>
        </w:tc>
      </w:tr>
      <w:tr w:rsidR="008D0551" w:rsidRPr="008C34DB" w14:paraId="0D3E4484" w14:textId="77777777" w:rsidTr="009F0CFA">
        <w:tc>
          <w:tcPr>
            <w:tcW w:w="9990" w:type="dxa"/>
            <w:gridSpan w:val="5"/>
          </w:tcPr>
          <w:p w14:paraId="72E357C3" w14:textId="77777777" w:rsidR="008D0551" w:rsidRPr="00CB7FC5" w:rsidRDefault="008D0551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r w:rsidRPr="00CB7FC5">
              <w:rPr>
                <w:rFonts w:ascii="Arial" w:hAnsi="Arial" w:cs="Arial"/>
                <w:b/>
                <w:sz w:val="22"/>
                <w:u w:val="single"/>
              </w:rPr>
              <w:t>Legal Co-Ordinator - Cairn Energy PLC</w:t>
            </w:r>
          </w:p>
          <w:p w14:paraId="16AACE0D" w14:textId="77777777" w:rsidR="008D0551" w:rsidRPr="00CB7FC5" w:rsidRDefault="008D0551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From February 1990, commenced major contract for Cairn Energy PLC, precursor t</w:t>
            </w:r>
            <w:r>
              <w:rPr>
                <w:rFonts w:ascii="Arial" w:hAnsi="Arial" w:cs="Arial"/>
                <w:sz w:val="22"/>
              </w:rPr>
              <w:t xml:space="preserve">o permanent position, initially </w:t>
            </w:r>
            <w:r w:rsidRPr="00CB7FC5">
              <w:rPr>
                <w:rFonts w:ascii="Arial" w:hAnsi="Arial" w:cs="Arial"/>
                <w:sz w:val="22"/>
              </w:rPr>
              <w:t>50% of time, rising to 100% from July 1990 following appointment as Legal Co-Ordinator with remit to:</w:t>
            </w:r>
          </w:p>
          <w:p w14:paraId="31AF8617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create and manage a Legal Department (which Cairn had not previously had);</w:t>
            </w:r>
          </w:p>
          <w:p w14:paraId="35B7F121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design, install and manage corporate legal control procedures;</w:t>
            </w:r>
          </w:p>
          <w:p w14:paraId="6CAA517B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 xml:space="preserve">responsible for all Cairn's </w:t>
            </w:r>
            <w:proofErr w:type="spellStart"/>
            <w:r w:rsidRPr="00CB7FC5">
              <w:rPr>
                <w:rFonts w:ascii="Arial" w:hAnsi="Arial" w:cs="Arial"/>
                <w:sz w:val="22"/>
              </w:rPr>
              <w:t>licence</w:t>
            </w:r>
            <w:proofErr w:type="spellEnd"/>
            <w:r w:rsidRPr="00CB7FC5">
              <w:rPr>
                <w:rFonts w:ascii="Arial" w:hAnsi="Arial" w:cs="Arial"/>
                <w:sz w:val="22"/>
              </w:rPr>
              <w:t>-related legal work, both UK and international;</w:t>
            </w:r>
          </w:p>
          <w:p w14:paraId="5D04DB5C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provide legal advice to the Board/Senior Management as required;</w:t>
            </w:r>
          </w:p>
          <w:p w14:paraId="1E60460B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negotiate major agreements (</w:t>
            </w:r>
            <w:proofErr w:type="spellStart"/>
            <w:r w:rsidRPr="00CB7FC5">
              <w:rPr>
                <w:rFonts w:ascii="Arial" w:hAnsi="Arial" w:cs="Arial"/>
                <w:sz w:val="22"/>
              </w:rPr>
              <w:t>eg</w:t>
            </w:r>
            <w:proofErr w:type="spellEnd"/>
            <w:r w:rsidRPr="00CB7FC5">
              <w:rPr>
                <w:rFonts w:ascii="Arial" w:hAnsi="Arial" w:cs="Arial"/>
                <w:sz w:val="22"/>
              </w:rPr>
              <w:t xml:space="preserve"> JOAs/SPAs);</w:t>
            </w:r>
          </w:p>
          <w:p w14:paraId="6E6BE3DE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 xml:space="preserve">co-ordinate </w:t>
            </w:r>
            <w:proofErr w:type="spellStart"/>
            <w:r w:rsidRPr="00CB7FC5">
              <w:rPr>
                <w:rFonts w:ascii="Arial" w:hAnsi="Arial" w:cs="Arial"/>
                <w:sz w:val="22"/>
              </w:rPr>
              <w:t>licence</w:t>
            </w:r>
            <w:proofErr w:type="spellEnd"/>
            <w:r w:rsidRPr="00CB7FC5">
              <w:rPr>
                <w:rFonts w:ascii="Arial" w:hAnsi="Arial" w:cs="Arial"/>
                <w:sz w:val="22"/>
              </w:rPr>
              <w:t xml:space="preserve"> applications in UK and International;</w:t>
            </w:r>
          </w:p>
          <w:p w14:paraId="3C11AD9D" w14:textId="77777777" w:rsidR="008D0551" w:rsidRPr="008C34DB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other legal/commercial work as required.</w:t>
            </w:r>
          </w:p>
        </w:tc>
      </w:tr>
      <w:tr w:rsidR="008D0551" w:rsidRPr="008C34DB" w14:paraId="4069028F" w14:textId="77777777" w:rsidTr="009F0CFA">
        <w:tc>
          <w:tcPr>
            <w:tcW w:w="9990" w:type="dxa"/>
            <w:gridSpan w:val="5"/>
          </w:tcPr>
          <w:p w14:paraId="28D745AF" w14:textId="77777777" w:rsidR="008D0551" w:rsidRPr="00CB7FC5" w:rsidRDefault="008D0551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r w:rsidRPr="00CB7FC5">
              <w:rPr>
                <w:rFonts w:ascii="Arial" w:hAnsi="Arial" w:cs="Arial"/>
                <w:b/>
                <w:sz w:val="22"/>
                <w:u w:val="single"/>
              </w:rPr>
              <w:t>Motorsports Consultant</w:t>
            </w:r>
          </w:p>
          <w:p w14:paraId="65991A39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Developed principal hobby into highly successful motorsports business with international reputation:</w:t>
            </w:r>
          </w:p>
          <w:p w14:paraId="3D8FD9C5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won 53 races in five years in the UK and on the Continent</w:t>
            </w:r>
          </w:p>
          <w:p w14:paraId="52A224F8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won three major championships, with three runner-up positions, including two 1-2s</w:t>
            </w:r>
          </w:p>
          <w:p w14:paraId="31712618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100% finishing record in 90+ races in main championship race series, a consistency record without parallel;</w:t>
            </w:r>
          </w:p>
          <w:p w14:paraId="5CCF450D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covered all legal, contractual, insurance and other commercial matters,</w:t>
            </w:r>
          </w:p>
          <w:p w14:paraId="1698F7DD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including sponsorship seeking and negotiation;</w:t>
            </w:r>
          </w:p>
          <w:p w14:paraId="0569A198" w14:textId="77777777" w:rsidR="008D0551" w:rsidRPr="008C34DB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r w:rsidRPr="00CB7FC5">
              <w:rPr>
                <w:rFonts w:ascii="Arial" w:hAnsi="Arial" w:cs="Arial"/>
                <w:sz w:val="22"/>
              </w:rPr>
              <w:t>ars featured in over 10 million copies of car magazines, and seen by over 70 million people on TV.</w:t>
            </w:r>
          </w:p>
        </w:tc>
      </w:tr>
      <w:tr w:rsidR="008D0551" w:rsidRPr="00CB7FC5" w14:paraId="24CD6BC8" w14:textId="77777777" w:rsidTr="009F0CFA">
        <w:tc>
          <w:tcPr>
            <w:tcW w:w="9990" w:type="dxa"/>
            <w:gridSpan w:val="5"/>
          </w:tcPr>
          <w:p w14:paraId="17940696" w14:textId="2BAB1233" w:rsidR="008D0551" w:rsidRPr="00CB7FC5" w:rsidRDefault="00E14509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11/</w:t>
            </w:r>
            <w:r w:rsidR="008D0551" w:rsidRPr="00CB7FC5">
              <w:rPr>
                <w:rFonts w:ascii="Arial" w:hAnsi="Arial" w:cs="Arial"/>
                <w:b/>
                <w:sz w:val="22"/>
                <w:u w:val="single"/>
              </w:rPr>
              <w:t xml:space="preserve"> 1979 </w:t>
            </w:r>
            <w:r>
              <w:rPr>
                <w:rFonts w:ascii="Arial" w:hAnsi="Arial" w:cs="Arial"/>
                <w:b/>
                <w:sz w:val="22"/>
                <w:u w:val="single"/>
              </w:rPr>
              <w:t>–</w:t>
            </w:r>
            <w:r w:rsidR="008D0551" w:rsidRPr="00CB7FC5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u w:val="single"/>
              </w:rPr>
              <w:t>10/</w:t>
            </w:r>
            <w:bookmarkStart w:id="0" w:name="_GoBack"/>
            <w:bookmarkEnd w:id="0"/>
            <w:r w:rsidR="008D0551" w:rsidRPr="00CB7FC5">
              <w:rPr>
                <w:rFonts w:ascii="Arial" w:hAnsi="Arial" w:cs="Arial"/>
                <w:b/>
                <w:sz w:val="22"/>
                <w:u w:val="single"/>
              </w:rPr>
              <w:t xml:space="preserve"> 1984</w:t>
            </w:r>
          </w:p>
        </w:tc>
      </w:tr>
      <w:tr w:rsidR="008D0551" w:rsidRPr="00CB7FC5" w14:paraId="1FF801D3" w14:textId="77777777" w:rsidTr="009F0CFA">
        <w:tc>
          <w:tcPr>
            <w:tcW w:w="9990" w:type="dxa"/>
            <w:gridSpan w:val="5"/>
          </w:tcPr>
          <w:p w14:paraId="77AC8F7A" w14:textId="77777777" w:rsidR="008D0551" w:rsidRPr="00CB7FC5" w:rsidRDefault="008D0551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Project Management Team - Various Job Titles - Conoco (U.K.) Limited - H</w:t>
            </w:r>
            <w:r>
              <w:rPr>
                <w:rFonts w:ascii="Arial" w:hAnsi="Arial" w:cs="Arial"/>
                <w:sz w:val="22"/>
              </w:rPr>
              <w:t xml:space="preserve">utton Field Development Project; </w:t>
            </w:r>
            <w:r w:rsidRPr="00CB7FC5">
              <w:rPr>
                <w:rFonts w:ascii="Arial" w:hAnsi="Arial" w:cs="Arial"/>
                <w:sz w:val="22"/>
              </w:rPr>
              <w:t>Resigned from Conoco following completion of Hutton Project and non-availability of s</w:t>
            </w:r>
            <w:r>
              <w:rPr>
                <w:rFonts w:ascii="Arial" w:hAnsi="Arial" w:cs="Arial"/>
                <w:sz w:val="22"/>
              </w:rPr>
              <w:t xml:space="preserve">imilar high-profile work within </w:t>
            </w:r>
            <w:r w:rsidRPr="00CB7FC5">
              <w:rPr>
                <w:rFonts w:ascii="Arial" w:hAnsi="Arial" w:cs="Arial"/>
                <w:sz w:val="22"/>
              </w:rPr>
              <w:t>the company.</w:t>
            </w:r>
          </w:p>
          <w:p w14:paraId="32092186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Acted as Project Services Manager and, from time to time, Project Mana</w:t>
            </w:r>
            <w:r>
              <w:rPr>
                <w:rFonts w:ascii="Arial" w:hAnsi="Arial" w:cs="Arial"/>
                <w:sz w:val="22"/>
              </w:rPr>
              <w:t xml:space="preserve">ger on $1.3 billion development </w:t>
            </w:r>
            <w:r w:rsidRPr="00CB7FC5">
              <w:rPr>
                <w:rFonts w:ascii="Arial" w:hAnsi="Arial" w:cs="Arial"/>
                <w:sz w:val="22"/>
              </w:rPr>
              <w:t>project, latter with overall responsibility for entire project; responsible for 85-100 staff in former role, 800-</w:t>
            </w:r>
            <w:r>
              <w:rPr>
                <w:rFonts w:ascii="Arial" w:hAnsi="Arial" w:cs="Arial"/>
                <w:sz w:val="22"/>
              </w:rPr>
              <w:t>1,000 in latter,</w:t>
            </w:r>
          </w:p>
          <w:p w14:paraId="2357E23B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lastRenderedPageBreak/>
              <w:t>directly responsible for all Project financial matters, in addition to direct responsibility for 9 Conoco and 30 contractor staff;</w:t>
            </w:r>
          </w:p>
          <w:p w14:paraId="7D8EAF05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functional responsibility for all project contracts activity;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B7FC5">
              <w:rPr>
                <w:rFonts w:ascii="Arial" w:hAnsi="Arial" w:cs="Arial"/>
                <w:sz w:val="22"/>
              </w:rPr>
              <w:t>negotiation and management of $60m insurance claim, including technical advice to Insurance Department,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B7FC5">
              <w:rPr>
                <w:rFonts w:ascii="Arial" w:hAnsi="Arial" w:cs="Arial"/>
                <w:sz w:val="22"/>
              </w:rPr>
              <w:t>and negotiations with Contractor and Loss Adjusters;</w:t>
            </w:r>
          </w:p>
          <w:p w14:paraId="65DD5EDB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corporate personnel involvement, including interviewing, selection &amp;c;</w:t>
            </w:r>
          </w:p>
          <w:p w14:paraId="788CE420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development of tax strategy for the project's PRT returns;</w:t>
            </w:r>
          </w:p>
          <w:p w14:paraId="5018A765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close involvement with corporate Legal and Treasury Divisions, with delegated responsibility (not normal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B7FC5">
              <w:rPr>
                <w:rFonts w:ascii="Arial" w:hAnsi="Arial" w:cs="Arial"/>
                <w:sz w:val="22"/>
              </w:rPr>
              <w:t>corporate practice);</w:t>
            </w:r>
          </w:p>
          <w:p w14:paraId="5CDAACA0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extended consultancy-type advice to Project and General Management;</w:t>
            </w:r>
          </w:p>
          <w:p w14:paraId="4C1D5549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wrote detailed engineering paper as key element of Conoco's 1984 application for the Queen's Award for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B7FC5">
              <w:rPr>
                <w:rFonts w:ascii="Arial" w:hAnsi="Arial" w:cs="Arial"/>
                <w:sz w:val="22"/>
              </w:rPr>
              <w:t>Technological Achievement (awarded in 1985);</w:t>
            </w:r>
          </w:p>
          <w:p w14:paraId="1C5D9F39" w14:textId="77777777" w:rsidR="008D0551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>listed on special fast-track listing of top 12-20 Conoco employees (out of 85,000) worldwide; transferred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B7FC5">
              <w:rPr>
                <w:rFonts w:ascii="Arial" w:hAnsi="Arial" w:cs="Arial"/>
                <w:sz w:val="22"/>
              </w:rPr>
              <w:t>onto Du Pont list post 1982 takeover of Conoco;</w:t>
            </w:r>
          </w:p>
          <w:p w14:paraId="4EB20F0B" w14:textId="77777777" w:rsidR="008D0551" w:rsidRPr="00CB7FC5" w:rsidRDefault="008D0551" w:rsidP="008D05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3" w:right="27"/>
              <w:rPr>
                <w:rFonts w:ascii="Arial" w:hAnsi="Arial" w:cs="Arial"/>
                <w:sz w:val="22"/>
              </w:rPr>
            </w:pPr>
            <w:r w:rsidRPr="00CB7FC5">
              <w:rPr>
                <w:rFonts w:ascii="Arial" w:hAnsi="Arial" w:cs="Arial"/>
                <w:sz w:val="22"/>
              </w:rPr>
              <w:t xml:space="preserve">responsible in pre-project phase for planning the </w:t>
            </w:r>
            <w:proofErr w:type="spellStart"/>
            <w:r w:rsidRPr="00CB7FC5">
              <w:rPr>
                <w:rFonts w:ascii="Arial" w:hAnsi="Arial" w:cs="Arial"/>
                <w:sz w:val="22"/>
              </w:rPr>
              <w:t>organisation</w:t>
            </w:r>
            <w:proofErr w:type="spellEnd"/>
            <w:r w:rsidRPr="00CB7FC5">
              <w:rPr>
                <w:rFonts w:ascii="Arial" w:hAnsi="Arial" w:cs="Arial"/>
                <w:sz w:val="22"/>
              </w:rPr>
              <w:t xml:space="preserve"> and project control procedures; supervision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B7FC5">
              <w:rPr>
                <w:rFonts w:ascii="Arial" w:hAnsi="Arial" w:cs="Arial"/>
                <w:sz w:val="22"/>
              </w:rPr>
              <w:t>directly over 6 professional staff, indirectly over 24 F&amp;A staff of the Project Services Contractor including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B7FC5">
              <w:rPr>
                <w:rFonts w:ascii="Arial" w:hAnsi="Arial" w:cs="Arial"/>
                <w:sz w:val="22"/>
              </w:rPr>
              <w:t>planning the systems for cost, financial, contractual and administrative control of a $1.5 billion North Sea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B7FC5">
              <w:rPr>
                <w:rFonts w:ascii="Arial" w:hAnsi="Arial" w:cs="Arial"/>
                <w:sz w:val="22"/>
              </w:rPr>
              <w:t>Development project;</w:t>
            </w:r>
          </w:p>
        </w:tc>
      </w:tr>
    </w:tbl>
    <w:p w14:paraId="752F8215" w14:textId="77777777" w:rsidR="00372170" w:rsidRDefault="00372170" w:rsidP="00372170"/>
    <w:p w14:paraId="3A9E5B1D" w14:textId="77777777" w:rsidR="00372170" w:rsidRDefault="00372170" w:rsidP="00372170"/>
    <w:p w14:paraId="736CCD78" w14:textId="77777777" w:rsidR="001E027A" w:rsidRDefault="001E027A"/>
    <w:sectPr w:rsidR="001E027A" w:rsidSect="001006E6">
      <w:headerReference w:type="default" r:id="rId15"/>
      <w:footerReference w:type="default" r:id="rId16"/>
      <w:pgSz w:w="11907" w:h="16839" w:code="9"/>
      <w:pgMar w:top="720" w:right="1134" w:bottom="720" w:left="1985" w:header="0" w:footer="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82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521B1DB6" w14:textId="77777777" w:rsidR="001006E6" w:rsidRPr="001006E6" w:rsidRDefault="0011376E" w:rsidP="001006E6">
        <w:pPr>
          <w:pStyle w:val="Footer"/>
          <w:ind w:left="-990"/>
          <w:jc w:val="center"/>
          <w:rPr>
            <w:rFonts w:ascii="Arial" w:hAnsi="Arial" w:cs="Arial"/>
            <w:sz w:val="22"/>
          </w:rPr>
        </w:pPr>
        <w:r w:rsidRPr="001006E6">
          <w:rPr>
            <w:rFonts w:ascii="Arial" w:hAnsi="Arial" w:cs="Arial"/>
            <w:sz w:val="22"/>
          </w:rPr>
          <w:fldChar w:fldCharType="begin"/>
        </w:r>
        <w:r w:rsidRPr="001006E6">
          <w:rPr>
            <w:rFonts w:ascii="Arial" w:hAnsi="Arial" w:cs="Arial"/>
            <w:sz w:val="22"/>
          </w:rPr>
          <w:instrText xml:space="preserve"> PAGE   \* MERGEFORMAT </w:instrText>
        </w:r>
        <w:r w:rsidRPr="001006E6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2</w:t>
        </w:r>
        <w:r w:rsidRPr="001006E6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54FBB29" w14:textId="77777777" w:rsidR="001006E6" w:rsidRDefault="0011376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1AAF8" w14:textId="77777777" w:rsidR="008D6A62" w:rsidRDefault="0011376E" w:rsidP="008D6A62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90EAA"/>
    <w:multiLevelType w:val="hybridMultilevel"/>
    <w:tmpl w:val="8228D786"/>
    <w:lvl w:ilvl="0" w:tplc="37563AE2">
      <w:start w:val="1"/>
      <w:numFmt w:val="bullet"/>
      <w:lvlText w:val="+"/>
      <w:lvlJc w:val="left"/>
      <w:pPr>
        <w:ind w:left="70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 w15:restartNumberingAfterBreak="0">
    <w:nsid w:val="6C7459E9"/>
    <w:multiLevelType w:val="hybridMultilevel"/>
    <w:tmpl w:val="6CB6176A"/>
    <w:lvl w:ilvl="0" w:tplc="92AC5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70"/>
    <w:rsid w:val="000327D5"/>
    <w:rsid w:val="0009177E"/>
    <w:rsid w:val="000D55E6"/>
    <w:rsid w:val="0011376E"/>
    <w:rsid w:val="001E027A"/>
    <w:rsid w:val="00372170"/>
    <w:rsid w:val="003800A0"/>
    <w:rsid w:val="008D0551"/>
    <w:rsid w:val="00941975"/>
    <w:rsid w:val="00A53924"/>
    <w:rsid w:val="00AA1833"/>
    <w:rsid w:val="00AC418A"/>
    <w:rsid w:val="00B072E8"/>
    <w:rsid w:val="00B90D2C"/>
    <w:rsid w:val="00BC084A"/>
    <w:rsid w:val="00BE79D4"/>
    <w:rsid w:val="00CA625F"/>
    <w:rsid w:val="00CF2F2E"/>
    <w:rsid w:val="00D82751"/>
    <w:rsid w:val="00D87006"/>
    <w:rsid w:val="00DB04A6"/>
    <w:rsid w:val="00DC7F94"/>
    <w:rsid w:val="00E03C82"/>
    <w:rsid w:val="00E14509"/>
    <w:rsid w:val="00E8154B"/>
    <w:rsid w:val="00F1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592F"/>
  <w15:chartTrackingRefBased/>
  <w15:docId w15:val="{A20988C0-AFCD-4C2A-A02F-7E2B2C6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70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1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17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21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170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D05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084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</dc:creator>
  <cp:keywords/>
  <dc:description/>
  <cp:lastModifiedBy>VIAC</cp:lastModifiedBy>
  <cp:revision>1</cp:revision>
  <dcterms:created xsi:type="dcterms:W3CDTF">2020-02-20T02:43:00Z</dcterms:created>
  <dcterms:modified xsi:type="dcterms:W3CDTF">2020-02-20T06:57:00Z</dcterms:modified>
</cp:coreProperties>
</file>